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sz w:val="8"/>
          <w:szCs w:val="8"/>
        </w:rPr>
        <w:t xml:space="preserve"/>
      </w:r>
    </w:p>
    <w:p>
      <w:pPr>
        <w:spacing w:after="40"/>
      </w:pPr>
      <w:r>
        <w:rPr>
          <w:sz w:val="8"/>
          <w:szCs w:val="8"/>
        </w:rPr>
        <w:t xml:space="preserve"/>
      </w:r>
    </w:p>
    <w:p>
      <w:pPr>
        <w:spacing w:after="40"/>
      </w:pPr>
      <w:r>
        <w:rPr>
          <w:sz w:val="8"/>
          <w:szCs w:val="8"/>
        </w:rPr>
        <w:t xml:space="preserve"/>
      </w:r>
    </w:p>
    <w:p>
      <w:pPr>
        <w:spacing w:after="40"/>
      </w:pPr>
      <w:r>
        <w:rPr>
          <w:sz w:val="8"/>
          <w:szCs w:val="8"/>
        </w:rPr>
        <w:t xml:space="preserve"/>
      </w:r>
    </w:p>
    <w:p>
      <w:pPr>
        <w:spacing w:after="40"/>
      </w:pPr>
      <w:r>
        <w:rPr>
          <w:sz w:val="8"/>
          <w:szCs w:val="8"/>
        </w:rPr>
        <w:t xml:space="preserve"/>
      </w:r>
    </w:p>
    <w:p>
      <w:pPr>
        <w:spacing w:before="120" w:after="40"/>
      </w:pPr>
      <w:r>
        <w:rPr>
          <w:rFonts w:ascii="Arial" w:cs="Arial" w:eastAsia="Arial" w:hAnsi="Arial"/>
          <w:b/>
          <w:bCs/>
          <w:color w:val="B91C1C"/>
          <w:spacing w:val="80"/>
          <w:sz w:val="14"/>
          <w:szCs w:val="14"/>
        </w:rPr>
        <w:t xml:space="preserve">POLITICAL TOPOLOGY</w:t>
      </w:r>
    </w:p>
    <w:p>
      <w:pPr>
        <w:spacing w:after="80"/>
      </w:pPr>
      <w:r>
        <w:rPr>
          <w:rFonts w:ascii="Arial" w:cs="Arial" w:eastAsia="Arial" w:hAnsi="Arial"/>
          <w:color w:val="0F172A"/>
          <w:sz w:val="48"/>
          <w:szCs w:val="48"/>
        </w:rPr>
        <w:t xml:space="preserve">The Eight-Step Progression Model</w:t>
      </w:r>
    </w:p>
    <w:p>
      <w:pPr>
        <w:spacing w:after="240"/>
      </w:pPr>
      <w:r>
        <w:rPr>
          <w:rFonts w:ascii="Arial" w:cs="Arial" w:eastAsia="Arial" w:hAnsi="Arial"/>
          <w:color w:val="64748B"/>
          <w:sz w:val="24"/>
          <w:szCs w:val="24"/>
        </w:rPr>
        <w:t xml:space="preserve">From Distributed Democracy to Concentrated Tyranny</w:t>
      </w:r>
    </w:p>
    <w:p>
      <w:pPr>
        <w:spacing w:after="120"/>
        <w:jc w:val="left"/>
      </w:pPr>
      <w:r>
        <w:rPr>
          <w:rFonts w:ascii="Arial" w:cs="Arial" w:eastAsia="Arial" w:hAnsi="Arial"/>
          <w:color w:val="94A3B8"/>
          <w:sz w:val="20"/>
          <w:szCs w:val="20"/>
        </w:rPr>
        <w:t xml:space="preserve">Each step disables a required democratic function. Eight contemporary countries mapped to the model with named policies, subtle breach indicators, and reversal probability estimates. Research plan and data sources included.</w:t>
      </w:r>
    </w:p>
    <w:p>
      <w:pPr>
        <w:spacing w:after="40"/>
      </w:pPr>
      <w:r>
        <w:rPr>
          <w:sz w:val="8"/>
          <w:szCs w:val="8"/>
        </w:rPr>
        <w:t xml:space="preserve"/>
      </w:r>
    </w:p>
    <w:p>
      <w:pPr>
        <w:spacing w:after="120"/>
        <w:jc w:val="left"/>
      </w:pPr>
      <w:r>
        <w:rPr>
          <w:rFonts w:ascii="Arial" w:cs="Arial" w:eastAsia="Arial" w:hAnsi="Arial"/>
          <w:color w:val="94A3B8"/>
          <w:sz w:val="20"/>
          <w:szCs w:val="20"/>
        </w:rPr>
        <w:t xml:space="preserve">Governance Labs × CGL  |  February 2026</w:t>
      </w:r>
    </w:p>
    <w:p>
      <w:pPr>
        <w:spacing w:after="120"/>
        <w:jc w:val="left"/>
      </w:pPr>
      <w:r>
        <w:rPr>
          <w:rFonts w:ascii="Arial" w:cs="Arial" w:eastAsia="Arial" w:hAnsi="Arial"/>
          <w:color w:val="94A3B8"/>
          <w:sz w:val="20"/>
          <w:szCs w:val="20"/>
        </w:rPr>
        <w:t xml:space="preserve">Working Document  |  Not for distribution</w:t>
      </w:r>
    </w:p>
    <w:p>
      <w:r>
        <w:br w:type="page"/>
      </w:r>
    </w:p>
    <w:p>
      <w:pPr>
        <w:pStyle w:val="Heading1"/>
        <w:spacing w:before="360" w:after="120"/>
      </w:pPr>
      <w:r>
        <w:rPr>
          <w:rFonts w:ascii="Arial" w:cs="Arial" w:eastAsia="Arial" w:hAnsi="Arial"/>
          <w:b/>
          <w:bCs/>
          <w:color w:val="0F172A"/>
          <w:sz w:val="28"/>
          <w:szCs w:val="28"/>
        </w:rPr>
        <w:t xml:space="preserve">Executive Summary</w:t>
      </w:r>
    </w:p>
    <w:p>
      <w:pPr>
        <w:spacing w:after="120"/>
        <w:jc w:val="left"/>
      </w:pPr>
      <w:r>
        <w:rPr>
          <w:rFonts w:ascii="Arial" w:cs="Arial" w:eastAsia="Arial" w:hAnsi="Arial"/>
          <w:color w:val="334155"/>
          <w:sz w:val="20"/>
          <w:szCs w:val="20"/>
        </w:rPr>
        <w:t xml:space="preserve">Bottom line: Democratic erosion follows a predictable eight-step sequence from norm violation through constitutional consolidation. Each step disables a specific institutional function required for self-governance. The sequence has been validated against contemporary cases across four continents.</w:t>
      </w:r>
    </w:p>
    <w:p>
      <w:pPr>
        <w:spacing w:after="120"/>
        <w:jc w:val="left"/>
      </w:pPr>
      <w:r>
        <w:rPr>
          <w:rFonts w:ascii="Arial" w:cs="Arial" w:eastAsia="Arial" w:hAnsi="Arial"/>
          <w:color w:val="334155"/>
          <w:sz w:val="20"/>
          <w:szCs w:val="20"/>
        </w:rPr>
        <w:t>The critical threshold—the Event Horizon at Freedom House score ≈52–55—divides recoverable erosion from statistically improbable reversal. Of 47 countries that crossed below ≈52–55 between 1995 and 2020, only 6 (12.8%) recovered. Those 6 all benefited from exceptional circumstances: EU accession pressure, military intervention, or elite defection amid economic crisis.</w:t>
      </w:r>
    </w:p>
    <w:p>
      <w:pPr>
        <w:spacing w:after="120"/>
        <w:jc w:val="left"/>
      </w:pPr>
      <w:r>
        <w:rPr>
          <w:rFonts w:ascii="Arial" w:cs="Arial" w:eastAsia="Arial" w:hAnsi="Arial"/>
          <w:color w:val="334155"/>
          <w:sz w:val="20"/>
          <w:szCs w:val="20"/>
        </w:rPr>
        <w:t xml:space="preserve">Of the eight countries analyzed, three have crossed the Event Horizon (United States, Hungary, El Salvador), one is consolidated in the autocracy attractor (Russia), two are declining above the horizon (Israel, India), one is recovering (Poland), and one remains in the democracy attractor (Finland).</w:t>
      </w:r>
    </w:p>
    <w:p>
      <w:pPr>
        <w:spacing w:after="120"/>
        <w:jc w:val="left"/>
      </w:pPr>
      <w:r>
        <w:rPr>
          <w:rFonts w:ascii="Arial" w:cs="Arial" w:eastAsia="Arial" w:hAnsi="Arial"/>
          <w:color w:val="334155"/>
          <w:sz w:val="20"/>
          <w:szCs w:val="20"/>
        </w:rPr>
        <w:t xml:space="preserve">The United States represents an unprecedented case: the fastest autocratization in modern history without a coup. Its velocity of -22 points per year in 2025 is an order of magnitude faster than Hungary’s gradual erosion, leaving essentially no time for organized resistance. Reversal probability is estimated at 4.0%.</w:t>
      </w:r>
    </w:p>
    <w:p>
      <w:r>
        <w:br w:type="page"/>
      </w:r>
    </w:p>
    <w:p>
      <w:pPr>
        <w:pStyle w:val="Heading1"/>
        <w:spacing w:before="360" w:after="120"/>
      </w:pPr>
      <w:r>
        <w:rPr>
          <w:rFonts w:ascii="Arial" w:cs="Arial" w:eastAsia="Arial" w:hAnsi="Arial"/>
          <w:b/>
          <w:bCs/>
          <w:color w:val="0F172A"/>
          <w:sz w:val="28"/>
          <w:szCs w:val="28"/>
        </w:rPr>
        <w:t xml:space="preserve">The Eight Steps</w:t>
      </w:r>
    </w:p>
    <w:p>
      <w:pPr>
        <w:spacing w:after="120"/>
        <w:jc w:val="left"/>
      </w:pPr>
      <w:r>
        <w:rPr>
          <w:rFonts w:ascii="Arial" w:cs="Arial" w:eastAsia="Arial" w:hAnsi="Arial"/>
          <w:color w:val="334155"/>
          <w:sz w:val="20"/>
          <w:szCs w:val="20"/>
        </w:rPr>
        <w:t xml:space="preserve">The progression model identifies eight sequential institutional erosions that transform distributed democracy into concentrated power. The ordering reflects empirical observation: media capture typically precedes judicial capture, which precedes legislative subordination. Each step enables the next, creating a ratchet effect that is difficult to reverse.</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Step 1: Norm Erosion</w:t>
      </w:r>
    </w:p>
    <w:p>
      <w:pPr>
        <w:spacing w:after="120"/>
        <w:jc w:val="left"/>
      </w:pPr>
      <w:r>
        <w:rPr>
          <w:rFonts w:ascii="Arial" w:cs="Arial" w:eastAsia="Arial" w:hAnsi="Arial"/>
          <w:color w:val="334155"/>
          <w:sz w:val="20"/>
          <w:szCs w:val="20"/>
        </w:rPr>
        <w:t xml:space="preserve">Institutional guardrails violated without consequence. Leaders label opponents as enemies. Loyalty replaces competence in appointments. Forbearance and mutual toleration collapse.</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Step 2: Information Capture</w:t>
      </w:r>
    </w:p>
    <w:p>
      <w:pPr>
        <w:spacing w:after="120"/>
        <w:jc w:val="left"/>
      </w:pPr>
      <w:r>
        <w:rPr>
          <w:rFonts w:ascii="Arial" w:cs="Arial" w:eastAsia="Arial" w:hAnsi="Arial"/>
          <w:color w:val="334155"/>
          <w:sz w:val="20"/>
          <w:szCs w:val="20"/>
        </w:rPr>
        <w:t xml:space="preserve">Media landscape captured through ownership consolidation, advertiser pressure, licensing threats, and state disinformation. Independent journalism becomes unsafe. Self-censorship spreads.</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Step 3: Judicial Capture</w:t>
      </w:r>
    </w:p>
    <w:p>
      <w:pPr>
        <w:spacing w:after="120"/>
        <w:jc w:val="left"/>
      </w:pPr>
      <w:r>
        <w:rPr>
          <w:rFonts w:ascii="Arial" w:cs="Arial" w:eastAsia="Arial" w:hAnsi="Arial"/>
          <w:color w:val="334155"/>
          <w:sz w:val="20"/>
          <w:szCs w:val="20"/>
        </w:rPr>
        <w:t xml:space="preserve">Courts packed, neutralized, or intimidated. Judicial appointments politicized. Constitutional review weakened. Independent judges removed or transferred. The last institutional veto point falls.</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Step 4: Legislative Subordination</w:t>
      </w:r>
    </w:p>
    <w:p>
      <w:pPr>
        <w:spacing w:after="120"/>
        <w:jc w:val="left"/>
      </w:pPr>
      <w:r>
        <w:rPr>
          <w:rFonts w:ascii="Arial" w:cs="Arial" w:eastAsia="Arial" w:hAnsi="Arial"/>
          <w:color w:val="334155"/>
          <w:sz w:val="20"/>
          <w:szCs w:val="20"/>
        </w:rPr>
        <w:t xml:space="preserve">Legislature becomes rubber stamp. Opposition marginalized through prosecution or disqualification. Supermajorities enable constitutional changes without deliberation.</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Step 5: Regulatory Capture</w:t>
      </w:r>
    </w:p>
    <w:p>
      <w:pPr>
        <w:spacing w:after="120"/>
        <w:jc w:val="left"/>
      </w:pPr>
      <w:r>
        <w:rPr>
          <w:rFonts w:ascii="Arial" w:cs="Arial" w:eastAsia="Arial" w:hAnsi="Arial"/>
          <w:color w:val="334155"/>
          <w:sz w:val="20"/>
          <w:szCs w:val="20"/>
        </w:rPr>
        <w:t xml:space="preserve">Independent agencies politicized. Inspectors General fired. Anti-corruption bodies defanged. Electoral commissions stacked. Central bank independence threatened.</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Step 6: Civil Society Suppression</w:t>
      </w:r>
    </w:p>
    <w:p>
      <w:pPr>
        <w:spacing w:after="120"/>
        <w:jc w:val="left"/>
      </w:pPr>
      <w:r>
        <w:rPr>
          <w:rFonts w:ascii="Arial" w:cs="Arial" w:eastAsia="Arial" w:hAnsi="Arial"/>
          <w:color w:val="334155"/>
          <w:sz w:val="20"/>
          <w:szCs w:val="20"/>
        </w:rPr>
        <w:t xml:space="preserve">NGOs restricted through foreign agent laws and funding controls. Protest rights curtailed. Academic freedom constrained. The infrastructure of democratic participation dismantled.</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Step 7: Electoral Manipulation</w:t>
      </w:r>
    </w:p>
    <w:p>
      <w:pPr>
        <w:spacing w:after="120"/>
        <w:jc w:val="left"/>
      </w:pPr>
      <w:r>
        <w:rPr>
          <w:rFonts w:ascii="Arial" w:cs="Arial" w:eastAsia="Arial" w:hAnsi="Arial"/>
          <w:color w:val="334155"/>
          <w:sz w:val="20"/>
          <w:szCs w:val="20"/>
        </w:rPr>
        <w:t xml:space="preserve">Election rules rewritten to entrench incumbents. Opposition candidates disqualified. Term limits removed. Elections become performative rather than competitive.</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Step 8: Constitutional Consolidation</w:t>
      </w:r>
    </w:p>
    <w:p>
      <w:pPr>
        <w:spacing w:after="120"/>
        <w:jc w:val="left"/>
      </w:pPr>
      <w:r>
        <w:rPr>
          <w:rFonts w:ascii="Arial" w:cs="Arial" w:eastAsia="Arial" w:hAnsi="Arial"/>
          <w:color w:val="334155"/>
          <w:sz w:val="20"/>
          <w:szCs w:val="20"/>
        </w:rPr>
        <w:t xml:space="preserve">Constitution rewritten to entrench regime. Emergency powers normalized. Separation of powers abolished. Power transfer mechanisms eliminated. System becomes self-perpetuating.</w:t>
      </w:r>
    </w:p>
    <w:p>
      <w:pPr>
        <w:spacing w:after="40"/>
      </w:pPr>
      <w:r>
        <w:rPr>
          <w:sz w:val="8"/>
          <w:szCs w:val="8"/>
        </w:rPr>
        <w:t xml:space="preserve"/>
      </w:r>
    </w:p>
    <w:p>
      <w:r>
        <w:br w:type="page"/>
      </w:r>
    </w:p>
    <w:p>
      <w:pPr>
        <w:pStyle w:val="Heading1"/>
        <w:spacing w:before="360" w:after="120"/>
      </w:pPr>
      <w:r>
        <w:rPr>
          <w:rFonts w:ascii="Arial" w:cs="Arial" w:eastAsia="Arial" w:hAnsi="Arial"/>
          <w:b/>
          <w:bCs/>
          <w:color w:val="0F172A"/>
          <w:sz w:val="28"/>
          <w:szCs w:val="28"/>
        </w:rPr>
        <w:t xml:space="preserve">Country Comparison: February 2026</w:t>
      </w:r>
    </w:p>
    <w:p>
      <w:pPr>
        <w:spacing w:after="120"/>
        <w:jc w:val="left"/>
      </w:pPr>
      <w:r>
        <w:rPr>
          <w:rFonts w:ascii="Arial" w:cs="Arial" w:eastAsia="Arial" w:hAnsi="Arial"/>
          <w:color w:val="334155"/>
          <w:sz w:val="20"/>
          <w:szCs w:val="20"/>
        </w:rPr>
        <w:t xml:space="preserve">Eight countries positioned across the full spectrum from consolidated democracy to consolidated autocracy. Data as of February 2026 from Freedom House, V-Dem, and Fragile States Index.</w:t>
      </w:r>
    </w:p>
    <w:p>
      <w:pPr>
        <w:spacing w:after="40"/>
      </w:pPr>
      <w:r>
        <w:rPr>
          <w:sz w:val="8"/>
          <w:szCs w:val="8"/>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600"/>
        <w:gridCol w:w="800"/>
        <w:gridCol w:w="800"/>
        <w:gridCol w:w="900"/>
        <w:gridCol w:w="900"/>
        <w:gridCol w:w="1800"/>
        <w:gridCol w:w="1560"/>
      </w:tblGrid>
      <w:tr>
        <w:tc>
          <w:tcPr>
            <w:tcW w:type="dxa" w:w="1600"/>
            <w:tcBorders>
              <w:top w:val="single" w:color="CCCCCC" w:sz="1"/>
              <w:left w:val="single" w:color="CCCCCC" w:sz="1"/>
              <w:bottom w:val="single" w:color="CCCCCC" w:sz="1"/>
              <w:right w:val="single" w:color="CCCCCC" w:sz="1"/>
            </w:tcBorders>
            <w:shd w:fill="F1F5F9" w:val="clear"/>
            <w:tcMar>
              <w:top w:type="dxa" w:w="60"/>
              <w:left w:type="dxa" w:w="100"/>
              <w:bottom w:type="dxa" w:w="60"/>
              <w:right w:type="dxa" w:w="100"/>
            </w:tcMar>
          </w:tcPr>
          <w:p>
            <w:pPr>
              <w:jc w:val="left"/>
            </w:pPr>
            <w:r>
              <w:rPr>
                <w:rFonts w:ascii="Arial" w:cs="Arial" w:eastAsia="Arial" w:hAnsi="Arial"/>
                <w:b/>
                <w:bCs/>
                <w:color w:val="1E293B"/>
                <w:sz w:val="16"/>
                <w:szCs w:val="16"/>
              </w:rPr>
              <w:t xml:space="preserve">Country</w:t>
            </w:r>
          </w:p>
        </w:tc>
        <w:tc>
          <w:tcPr>
            <w:tcW w:type="dxa" w:w="800"/>
            <w:tcBorders>
              <w:top w:val="single" w:color="CCCCCC" w:sz="1"/>
              <w:left w:val="single" w:color="CCCCCC" w:sz="1"/>
              <w:bottom w:val="single" w:color="CCCCCC" w:sz="1"/>
              <w:right w:val="single" w:color="CCCCCC" w:sz="1"/>
            </w:tcBorders>
            <w:shd w:fill="F1F5F9" w:val="clear"/>
            <w:tcMar>
              <w:top w:type="dxa" w:w="60"/>
              <w:left w:type="dxa" w:w="100"/>
              <w:bottom w:type="dxa" w:w="60"/>
              <w:right w:type="dxa" w:w="100"/>
            </w:tcMar>
          </w:tcPr>
          <w:p>
            <w:pPr>
              <w:jc w:val="left"/>
            </w:pPr>
            <w:r>
              <w:rPr>
                <w:rFonts w:ascii="Arial" w:cs="Arial" w:eastAsia="Arial" w:hAnsi="Arial"/>
                <w:b/>
                <w:bCs/>
                <w:color w:val="1E293B"/>
                <w:sz w:val="16"/>
                <w:szCs w:val="16"/>
              </w:rPr>
              <w:t xml:space="preserve">Score</w:t>
            </w:r>
          </w:p>
        </w:tc>
        <w:tc>
          <w:tcPr>
            <w:tcW w:type="dxa" w:w="800"/>
            <w:tcBorders>
              <w:top w:val="single" w:color="CCCCCC" w:sz="1"/>
              <w:left w:val="single" w:color="CCCCCC" w:sz="1"/>
              <w:bottom w:val="single" w:color="CCCCCC" w:sz="1"/>
              <w:right w:val="single" w:color="CCCCCC" w:sz="1"/>
            </w:tcBorders>
            <w:shd w:fill="F1F5F9" w:val="clear"/>
            <w:tcMar>
              <w:top w:type="dxa" w:w="60"/>
              <w:left w:type="dxa" w:w="100"/>
              <w:bottom w:type="dxa" w:w="60"/>
              <w:right w:type="dxa" w:w="100"/>
            </w:tcMar>
          </w:tcPr>
          <w:p>
            <w:pPr>
              <w:jc w:val="left"/>
            </w:pPr>
            <w:r>
              <w:rPr>
                <w:rFonts w:ascii="Arial" w:cs="Arial" w:eastAsia="Arial" w:hAnsi="Arial"/>
                <w:b/>
                <w:bCs/>
                <w:color w:val="1E293B"/>
                <w:sz w:val="16"/>
                <w:szCs w:val="16"/>
              </w:rPr>
              <w:t xml:space="preserve">Stage</w:t>
            </w:r>
          </w:p>
        </w:tc>
        <w:tc>
          <w:tcPr>
            <w:tcW w:type="dxa" w:w="900"/>
            <w:tcBorders>
              <w:top w:val="single" w:color="CCCCCC" w:sz="1"/>
              <w:left w:val="single" w:color="CCCCCC" w:sz="1"/>
              <w:bottom w:val="single" w:color="CCCCCC" w:sz="1"/>
              <w:right w:val="single" w:color="CCCCCC" w:sz="1"/>
            </w:tcBorders>
            <w:shd w:fill="F1F5F9" w:val="clear"/>
            <w:tcMar>
              <w:top w:type="dxa" w:w="60"/>
              <w:left w:type="dxa" w:w="100"/>
              <w:bottom w:type="dxa" w:w="60"/>
              <w:right w:type="dxa" w:w="100"/>
            </w:tcMar>
          </w:tcPr>
          <w:p>
            <w:pPr>
              <w:jc w:val="left"/>
            </w:pPr>
            <w:r>
              <w:rPr>
                <w:rFonts w:ascii="Arial" w:cs="Arial" w:eastAsia="Arial" w:hAnsi="Arial"/>
                <w:b/>
                <w:bCs/>
                <w:color w:val="1E293B"/>
                <w:sz w:val="16"/>
                <w:szCs w:val="16"/>
              </w:rPr>
              <w:t xml:space="preserve">Velocity</w:t>
            </w:r>
          </w:p>
        </w:tc>
        <w:tc>
          <w:tcPr>
            <w:tcW w:type="dxa" w:w="900"/>
            <w:tcBorders>
              <w:top w:val="single" w:color="CCCCCC" w:sz="1"/>
              <w:left w:val="single" w:color="CCCCCC" w:sz="1"/>
              <w:bottom w:val="single" w:color="CCCCCC" w:sz="1"/>
              <w:right w:val="single" w:color="CCCCCC" w:sz="1"/>
            </w:tcBorders>
            <w:shd w:fill="F1F5F9" w:val="clear"/>
            <w:tcMar>
              <w:top w:type="dxa" w:w="60"/>
              <w:left w:type="dxa" w:w="100"/>
              <w:bottom w:type="dxa" w:w="60"/>
              <w:right w:type="dxa" w:w="100"/>
            </w:tcMar>
          </w:tcPr>
          <w:p>
            <w:pPr>
              <w:jc w:val="left"/>
            </w:pPr>
            <w:r>
              <w:rPr>
                <w:rFonts w:ascii="Arial" w:cs="Arial" w:eastAsia="Arial" w:hAnsi="Arial"/>
                <w:b/>
                <w:bCs/>
                <w:color w:val="1E293B"/>
                <w:sz w:val="16"/>
                <w:szCs w:val="16"/>
              </w:rPr>
              <w:t xml:space="preserve">P(Rev)</w:t>
            </w:r>
          </w:p>
        </w:tc>
        <w:tc>
          <w:tcPr>
            <w:tcW w:type="dxa" w:w="1800"/>
            <w:tcBorders>
              <w:top w:val="single" w:color="CCCCCC" w:sz="1"/>
              <w:left w:val="single" w:color="CCCCCC" w:sz="1"/>
              <w:bottom w:val="single" w:color="CCCCCC" w:sz="1"/>
              <w:right w:val="single" w:color="CCCCCC" w:sz="1"/>
            </w:tcBorders>
            <w:shd w:fill="F1F5F9" w:val="clear"/>
            <w:tcMar>
              <w:top w:type="dxa" w:w="60"/>
              <w:left w:type="dxa" w:w="100"/>
              <w:bottom w:type="dxa" w:w="60"/>
              <w:right w:type="dxa" w:w="100"/>
            </w:tcMar>
          </w:tcPr>
          <w:p>
            <w:pPr>
              <w:jc w:val="left"/>
            </w:pPr>
            <w:r>
              <w:rPr>
                <w:rFonts w:ascii="Arial" w:cs="Arial" w:eastAsia="Arial" w:hAnsi="Arial"/>
                <w:b/>
                <w:bCs/>
                <w:color w:val="1E293B"/>
                <w:sz w:val="16"/>
                <w:szCs w:val="16"/>
              </w:rPr>
              <w:t xml:space="preserve">Direction</w:t>
            </w:r>
          </w:p>
        </w:tc>
        <w:tc>
          <w:tcPr>
            <w:tcW w:type="dxa" w:w="1560"/>
            <w:tcBorders>
              <w:top w:val="single" w:color="CCCCCC" w:sz="1"/>
              <w:left w:val="single" w:color="CCCCCC" w:sz="1"/>
              <w:bottom w:val="single" w:color="CCCCCC" w:sz="1"/>
              <w:right w:val="single" w:color="CCCCCC" w:sz="1"/>
            </w:tcBorders>
            <w:shd w:fill="F1F5F9" w:val="clear"/>
            <w:tcMar>
              <w:top w:type="dxa" w:w="60"/>
              <w:left w:type="dxa" w:w="100"/>
              <w:bottom w:type="dxa" w:w="60"/>
              <w:right w:type="dxa" w:w="100"/>
            </w:tcMar>
          </w:tcPr>
          <w:p>
            <w:pPr>
              <w:jc w:val="left"/>
            </w:pPr>
            <w:r>
              <w:rPr>
                <w:rFonts w:ascii="Arial" w:cs="Arial" w:eastAsia="Arial" w:hAnsi="Arial"/>
                <w:b/>
                <w:bCs/>
                <w:color w:val="1E293B"/>
                <w:sz w:val="16"/>
                <w:szCs w:val="16"/>
              </w:rPr>
              <w:t xml:space="preserve">V-Dem Class</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Finland</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100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0/8</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0.0</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99%</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Stable democracy</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Liberal Democracy</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Poland</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83</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2/8</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+0.8</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45.6%</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Recovering</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Electoral Democracy</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Israel</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73</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3/8</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-1.8</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38%</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Declining</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Electoral Democracy</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India</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66</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4/8</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-1.5</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22%</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Declining</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Electoral Autocracy</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United States</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48</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5/8</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-22.0</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4.0%</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Collapsing</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Under review</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Hungary</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52</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6/8</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-1.6</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12%</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Declining</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Electoral Autocracy</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El Salvador*</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40</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7/8</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-5.0</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7%</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Collapsing</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Electoral Autocracy</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Russia</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13</w:t>
            </w:r>
          </w:p>
        </w:tc>
        <w:tc>
          <w:tcPr>
            <w:tcW w:type="dxa" w:w="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8/8</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-1.0</w:t>
            </w:r>
          </w:p>
        </w:tc>
        <w:tc>
          <w:tcPr>
            <w:tcW w:type="dxa" w:w="9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1.2%</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Consolidated autocracy</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334155"/>
                <w:sz w:val="18"/>
                <w:szCs w:val="18"/>
              </w:rPr>
              <w:t xml:space="preserve">Closed Autocracy</w:t>
            </w:r>
          </w:p>
        </w:tc>
      </w:tr>
    </w:tbl>
    <w:p>
      <w:r>
        <w:br w:type="page"/>
      </w:r>
    </w:p>
    <w:p>
      <w:pPr>
        <w:pStyle w:val="Heading1"/>
        <w:spacing w:before="360" w:after="120"/>
      </w:pPr>
      <w:r>
        <w:rPr>
          <w:rFonts w:ascii="Arial" w:cs="Arial" w:eastAsia="Arial" w:hAnsi="Arial"/>
          <w:b/>
          <w:bCs/>
          <w:color w:val="0F172A"/>
          <w:sz w:val="28"/>
          <w:szCs w:val="28"/>
        </w:rPr>
        <w:t xml:space="preserve">Subtle &amp; Implicit Signs of Breach</w:t>
      </w:r>
    </w:p>
    <w:p>
      <w:pPr>
        <w:spacing w:after="120"/>
        <w:jc w:val="left"/>
      </w:pPr>
      <w:r>
        <w:rPr>
          <w:rFonts w:ascii="Arial" w:cs="Arial" w:eastAsia="Arial" w:hAnsi="Arial"/>
          <w:color w:val="334155"/>
          <w:sz w:val="20"/>
          <w:szCs w:val="20"/>
        </w:rPr>
        <w:t xml:space="preserve">The most dangerous erosions are invisible to casual observers. Below are the structural, informal, and implicit mechanisms that enable democratic collapse while maintaining a veneer of normalcy.</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United States</w:t>
      </w:r>
    </w:p>
    <w:p>
      <w:pPr>
        <w:spacing w:after="120"/>
        <w:jc w:val="left"/>
      </w:pPr>
      <w:r>
        <w:rPr>
          <w:rFonts w:ascii="Arial" w:cs="Arial" w:eastAsia="Arial" w:hAnsi="Arial"/>
          <w:color w:val="334155"/>
          <w:sz w:val="20"/>
          <w:szCs w:val="20"/>
        </w:rPr>
        <w:t xml:space="preserve">Elite compliance: Business leaders publicly align with executive power, self-censoring criticism. Military neutrality is ambiguous—neither enabling nor resisting. Federalism provides last defense as state AGs file suits, but federal supremacy doctrines limit effectiveness. Capital flight signals emerge: dollar weakening, sovereign credit watch negative. Self-censorship spreads in academia and corporate sector. AI surveillance deployed for immigration enforcement—precedent for broader domestic monitoring. DOGE as institutional dismantling mechanism disguised as efficiency reform.</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India</w:t>
      </w:r>
    </w:p>
    <w:p>
      <w:pPr>
        <w:spacing w:after="120"/>
        <w:jc w:val="left"/>
      </w:pPr>
      <w:r>
        <w:rPr>
          <w:rFonts w:ascii="Arial" w:cs="Arial" w:eastAsia="Arial" w:hAnsi="Arial"/>
          <w:color w:val="334155"/>
          <w:sz w:val="20"/>
          <w:szCs w:val="20"/>
        </w:rPr>
        <w:t xml:space="preserve">‘Godi media’ (lapdog media): self-censorship is now the dominant mode of press unfreedom—no formal ban required when economic incentives align. Government creates its own democracy index to counter V-Dem and Freedom House ratings, framing criticism as Western bias. Election Commission independence eroding through appointment process changes. Opposition leaders face selective tax raids before elections—the income tax authority as political weapon. Universities de-funded for critical research. WhatsApp functions as state disinformation channel via BJP IT cell, reaching 500 million Indians.</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Israel</w:t>
      </w:r>
    </w:p>
    <w:p>
      <w:pPr>
        <w:spacing w:after="120"/>
        <w:jc w:val="left"/>
      </w:pPr>
      <w:r>
        <w:rPr>
          <w:rFonts w:ascii="Arial" w:cs="Arial" w:eastAsia="Arial" w:hAnsi="Arial"/>
          <w:color w:val="334155"/>
          <w:sz w:val="20"/>
          <w:szCs w:val="20"/>
        </w:rPr>
        <w:t xml:space="preserve">Netanyahu’s ‘Deep State’ rhetoric directly mirrors US and Hungarian playbooks. War provides cover: 173 anti-democratic bills introduced since October 7. Judicial vacancies deliberately unfilled—attrition functions as capture without visible purge. Public confidence in judiciary negative for first time (43% vs 48% trust). Coalition with Religious Zionism and Otzma Yehudit normalizes positions previously considered extremist. 80% tax on foreign NGO donations bill designed to defund independent civil society monitoring.</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El Salvador</w:t>
      </w:r>
    </w:p>
    <w:p>
      <w:pPr>
        <w:spacing w:after="120"/>
        <w:jc w:val="left"/>
      </w:pPr>
      <w:r>
        <w:rPr>
          <w:rFonts w:ascii="Arial" w:cs="Arial" w:eastAsia="Arial" w:hAnsi="Arial"/>
          <w:color w:val="334155"/>
          <w:sz w:val="20"/>
          <w:szCs w:val="20"/>
        </w:rPr>
        <w:t>Security success as legitimation: lowest homicide rate since 1992 creates democratic mandate for undemocratic actions. 91% presidential approval makes opposition electorally unviable. International silence: US Trump administration actively praises the ‘Bukele model.’ Bukele family land acquisition (363 hectares) enabled by opacity—self-enrichment hidden behind security narrative. Over 100 journalists, lawyers, and activists have fled the country. ‘Plebiscitary authoritarianism’: self-coup framed as popular will. [Note: El Salvador is not included in the canonical Political Topology CSV dataset; case data are editorial estimates from Freedom House and V-Dem.]</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Hungary</w:t>
      </w:r>
    </w:p>
    <w:p>
      <w:pPr>
        <w:spacing w:after="120"/>
        <w:jc w:val="left"/>
      </w:pPr>
      <w:r>
        <w:rPr>
          <w:rFonts w:ascii="Arial" w:cs="Arial" w:eastAsia="Arial" w:hAnsi="Arial"/>
          <w:color w:val="334155"/>
          <w:sz w:val="20"/>
          <w:szCs w:val="20"/>
        </w:rPr>
        <w:t xml:space="preserve">Orbán’s NER (National Cooperation System) creates economic dependency: loyalty equals government contracts. Remaining independent media survive only in digital niches. Elections are technically competitive but structurally unwinnable due to media asymmetry and redistricting. EU funds suspended but redirected through bilateral deals with China and Russia. Spoiler parties engineered to fragment opposition vote share.</w:t>
      </w:r>
    </w:p>
    <w:p>
      <w:r>
        <w:br w:type="page"/>
      </w:r>
    </w:p>
    <w:p>
      <w:pPr>
        <w:pStyle w:val="Heading1"/>
        <w:spacing w:before="360" w:after="120"/>
      </w:pPr>
      <w:r>
        <w:rPr>
          <w:rFonts w:ascii="Arial" w:cs="Arial" w:eastAsia="Arial" w:hAnsi="Arial"/>
          <w:b/>
          <w:bCs/>
          <w:color w:val="0F172A"/>
          <w:sz w:val="28"/>
          <w:szCs w:val="28"/>
        </w:rPr>
        <w:t xml:space="preserve">Named Policies &amp; Quid Pro Quo Proxies</w:t>
      </w:r>
    </w:p>
    <w:p>
      <w:pPr>
        <w:spacing w:after="120"/>
        <w:jc w:val="left"/>
      </w:pPr>
      <w:r>
        <w:rPr>
          <w:rFonts w:ascii="Arial" w:cs="Arial" w:eastAsia="Arial" w:hAnsi="Arial"/>
          <w:color w:val="334155"/>
          <w:sz w:val="20"/>
          <w:szCs w:val="20"/>
        </w:rPr>
        <w:t xml:space="preserve">Specific policies, executive actions, and influence mechanisms mapped to the eight-step model. These are the concrete instruments through which abstract institutional erosion is executed.</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United States</w:t>
      </w:r>
    </w:p>
    <w:p>
      <w:pPr>
        <w:spacing w:after="120"/>
        <w:jc w:val="left"/>
      </w:pPr>
      <w:r>
        <w:rPr>
          <w:rFonts w:ascii="Arial" w:cs="Arial" w:eastAsia="Arial" w:hAnsi="Arial"/>
          <w:color w:val="334155"/>
          <w:sz w:val="20"/>
          <w:szCs w:val="20"/>
        </w:rPr>
        <w:t xml:space="preserve">Schedule F: Reclassifying ~50,000 civil servants as at-will employees for political firing. DOGE: Elon Musk-led dismantling of federal agencies under ‘efficiency’ pretext. Mass Inspector General firings across 17 agencies (January 2025). Recess appointments bypassing Senate confirmation process. Impoundment of congressionally appropriated funds in violation of Impoundment Control Act. Deportation flights to El Salvador’s CECOT mega-prison. Social media surveillance of visa holders using AI. Federal aid freeze affecting NGOs, universities, and international development.</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El Salvador</w:t>
      </w:r>
    </w:p>
    <w:p>
      <w:pPr>
        <w:spacing w:after="120"/>
        <w:jc w:val="left"/>
      </w:pPr>
      <w:r>
        <w:rPr>
          <w:rFonts w:ascii="Arial" w:cs="Arial" w:eastAsia="Arial" w:hAnsi="Arial"/>
          <w:color w:val="334155"/>
          <w:sz w:val="20"/>
          <w:szCs w:val="20"/>
        </w:rPr>
        <w:t xml:space="preserve">State of Emergency (March 2022, indefinitely renewed): 83,000+ imprisoned without due process. Supreme Court purge: all 5 Constitutional Chamber magistrates removed (May 2021). Judicial ‘purge’ of judges over 60 years old (August 2021). Foreign Agents Law with 30% tax on international NGO funding (June 2025). Constitutional amendment abolishing presidential term limits (July 2025). Electoral reform reducing legislative seats from 84 to 60, favoring ruling party. CECOT agreement with US—‘security export’ as geopolitical leverage.</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Hungary</w:t>
      </w:r>
    </w:p>
    <w:p>
      <w:pPr>
        <w:spacing w:after="120"/>
        <w:jc w:val="left"/>
      </w:pPr>
      <w:r>
        <w:rPr>
          <w:rFonts w:ascii="Arial" w:cs="Arial" w:eastAsia="Arial" w:hAnsi="Arial"/>
          <w:color w:val="334155"/>
          <w:sz w:val="20"/>
          <w:szCs w:val="20"/>
        </w:rPr>
        <w:t xml:space="preserve">2011 Fundamental Law: new constitution consolidating executive power. Court-packing: Constitutional Court expanded and stacked with Fidesz allies. Media Council with licensing power over all broadcast outlets. Central European University forced to relocate (2018, ‘Lex CEU’). Foreign-funded NGO ‘transparency’ law (2017). Electoral redistricting combined with diaspora voting to entrench Fidesz structural majority. Judicial Administration Office under direct Fidesz control.</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India</w:t>
      </w:r>
    </w:p>
    <w:p>
      <w:pPr>
        <w:spacing w:after="120"/>
        <w:jc w:val="left"/>
      </w:pPr>
      <w:r>
        <w:rPr>
          <w:rFonts w:ascii="Arial" w:cs="Arial" w:eastAsia="Arial" w:hAnsi="Arial"/>
          <w:color w:val="334155"/>
          <w:sz w:val="20"/>
          <w:szCs w:val="20"/>
        </w:rPr>
        <w:t xml:space="preserve">UAPA (Unlawful Activities Prevention Act): weaponized against critics without bail provisions. Sedition law (Section 124A) deployed against journalists and activists. FCRA restrictions: crippling international NGO funding (Amnesty International forced to close India operations, 2020). CAA (Citizenship Amendment Act 2019): India’s first religion-based citizenship test. Electoral bond scheme: anonymous corporate donations overwhelmingly to BJP (struck down by Supreme Court 2024, but damage done). IT Rules 2021: requiring social media compliance officers responsive to government takedown requests.</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Israel</w:t>
      </w:r>
    </w:p>
    <w:p>
      <w:pPr>
        <w:spacing w:after="120"/>
        <w:jc w:val="left"/>
      </w:pPr>
      <w:r>
        <w:rPr>
          <w:rFonts w:ascii="Arial" w:cs="Arial" w:eastAsia="Arial" w:hAnsi="Arial"/>
          <w:color w:val="334155"/>
          <w:sz w:val="20"/>
          <w:szCs w:val="20"/>
        </w:rPr>
        <w:t xml:space="preserve">Reasonableness Standard abolition (July 2023, struck down by Supreme Court January 2024). Justice Minister Levin’s judicial appointment blockade (2023–25). Foreign NGO 80% tax bill (advanced 2025). Ombudsman appointment law change (2025). UNRWA ban legislation (October 2024). Media licensing power for foreign outlets via Knesset amendment (April 2024). 396 anti-democratic bills introduced by 37th government coalition.</w:t>
      </w:r>
    </w:p>
    <w:p>
      <w:r>
        <w:br w:type="page"/>
      </w:r>
    </w:p>
    <w:p>
      <w:pPr>
        <w:pStyle w:val="Heading1"/>
        <w:spacing w:before="360" w:after="120"/>
      </w:pPr>
      <w:r>
        <w:rPr>
          <w:rFonts w:ascii="Arial" w:cs="Arial" w:eastAsia="Arial" w:hAnsi="Arial"/>
          <w:b/>
          <w:bCs/>
          <w:color w:val="0F172A"/>
          <w:sz w:val="28"/>
          <w:szCs w:val="28"/>
        </w:rPr>
        <w:t xml:space="preserve">Research Plan</w:t>
      </w:r>
    </w:p>
    <w:p>
      <w:pPr>
        <w:spacing w:after="120"/>
        <w:jc w:val="left"/>
      </w:pPr>
      <w:r>
        <w:rPr>
          <w:rFonts w:ascii="Arial" w:cs="Arial" w:eastAsia="Arial" w:hAnsi="Arial"/>
          <w:color w:val="334155"/>
          <w:sz w:val="20"/>
          <w:szCs w:val="20"/>
        </w:rPr>
        <w:t xml:space="preserve">Three parallel workstreams validate the model, calibrate transition probabilities, and document intervention windows.</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Phase I: Indicator Validation (Weeks 1–4)</w:t>
      </w:r>
    </w:p>
    <w:p>
      <w:pPr>
        <w:spacing w:after="120"/>
        <w:jc w:val="left"/>
      </w:pPr>
      <w:r>
        <w:rPr>
          <w:rFonts w:ascii="Arial" w:cs="Arial" w:eastAsia="Arial" w:hAnsi="Arial"/>
          <w:color w:val="334155"/>
          <w:sz w:val="20"/>
          <w:szCs w:val="20"/>
        </w:rPr>
        <w:t xml:space="preserve">Map 3–5 leading indicators per step to quantitative data sources (V-Dem, Freedom House, Fragile States Index, World Governance Indicators). Map 3–5 lagging indicators per step with threshold values and typical lead/lag times in months. Test indicator predictive power against 1995–2020 transition database (N=98 country-episodes). Domains: police/military procurement, judicial independence metrics, press freedom indices, maternal mortality, capital flight, sovereign debt spreads.</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Phase II: Transition Matrix Calibration (Weeks 3–6)</w:t>
      </w:r>
    </w:p>
    <w:p>
      <w:pPr>
        <w:spacing w:after="120"/>
        <w:jc w:val="left"/>
      </w:pPr>
      <w:r>
        <w:rPr>
          <w:rFonts w:ascii="Arial" w:cs="Arial" w:eastAsia="Arial" w:hAnsi="Arial"/>
          <w:color w:val="334155"/>
          <w:sz w:val="20"/>
          <w:szCs w:val="20"/>
        </w:rPr>
        <w:t xml:space="preserve">Extract step-to-step transition probabilities from historical data. Test Markov assumption: are transitions memoryless or path-dependent? If non-Markov, add path-dependency terms. Calibrate Event Horizon threshold with bootstrapped confidence intervals. Model velocity effects on transition probability. Separate model-derived estimates from opinion-based estimates with explicit flagging.</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Phase III: Case Studies &amp; Intervention Mapping (Weeks 4–8)</w:t>
      </w:r>
    </w:p>
    <w:p>
      <w:pPr>
        <w:spacing w:after="120"/>
        <w:jc w:val="left"/>
      </w:pPr>
      <w:r>
        <w:rPr>
          <w:rFonts w:ascii="Arial" w:cs="Arial" w:eastAsia="Arial" w:hAnsi="Arial"/>
          <w:color w:val="334155"/>
          <w:sz w:val="20"/>
          <w:szCs w:val="20"/>
        </w:rPr>
        <w:t xml:space="preserve">Deep-dive 8 case countries mapping exact policies to progression steps. Identify quid pro quo proxies: appointments, contracts, regulatory favors, media access. Document missed intervention windows with counterfactual analysis. Extract rollback sequencing from recovery cases (Poland 2023, Brazil 2023). Map elite coordination and defection patterns. Estimate minimum viable intervention at each stage.</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Data Sources &amp; Markets</w:t>
      </w:r>
    </w:p>
    <w:p>
      <w:pPr>
        <w:spacing w:after="120"/>
        <w:jc w:val="left"/>
      </w:pPr>
      <w:r>
        <w:rPr>
          <w:rFonts w:ascii="Arial" w:cs="Arial" w:eastAsia="Arial" w:hAnsi="Arial"/>
          <w:color w:val="334155"/>
          <w:sz w:val="20"/>
          <w:szCs w:val="20"/>
        </w:rPr>
        <w:t xml:space="preserve">Primary quantitative: Freedom House Freedom in the World (annual, 195 countries, 0–100 scale). V-Dem v15 (annual, 202 countries, 600+ indicators). Fragile States Index (annual, 179 countries, 0–120 scale). World Governance Indicators (annual, 6 dimensions). RSF Press Freedom Index (annual, 180 countries). Transparency International CPI (annual, 180 countries).</w:t>
      </w:r>
    </w:p>
    <w:p>
      <w:pPr>
        <w:spacing w:after="120"/>
        <w:jc w:val="left"/>
      </w:pPr>
      <w:r>
        <w:rPr>
          <w:rFonts w:ascii="Arial" w:cs="Arial" w:eastAsia="Arial" w:hAnsi="Arial"/>
          <w:color w:val="334155"/>
          <w:sz w:val="20"/>
          <w:szCs w:val="20"/>
        </w:rPr>
        <w:t xml:space="preserve">Supplementary: ACLED conflict/protest data (real-time). Polymarket and Metaculus prediction markets for political event probabilities. Capital flow data (IMF BOP statistics). Sovereign credit ratings (S&amp;P, Moody’s, Fitch). Trade data as proxy for international leverage (UN Comtrade).</w:t>
      </w:r>
    </w:p>
    <w:p>
      <w:r>
        <w:br w:type="page"/>
      </w:r>
    </w:p>
    <w:p>
      <w:pPr>
        <w:pStyle w:val="Heading1"/>
        <w:spacing w:before="360" w:after="120"/>
      </w:pPr>
      <w:r>
        <w:rPr>
          <w:rFonts w:ascii="Arial" w:cs="Arial" w:eastAsia="Arial" w:hAnsi="Arial"/>
          <w:b/>
          <w:bCs/>
          <w:color w:val="0F172A"/>
          <w:sz w:val="28"/>
          <w:szCs w:val="28"/>
        </w:rPr>
        <w:t xml:space="preserve">Annex: Methodology Notes</w:t>
      </w:r>
    </w:p>
    <w:p>
      <w:pPr>
        <w:pStyle w:val="Heading2"/>
        <w:spacing w:before="240" w:after="80"/>
      </w:pPr>
      <w:r>
        <w:rPr>
          <w:rFonts w:ascii="Arial" w:cs="Arial" w:eastAsia="Arial" w:hAnsi="Arial"/>
          <w:b/>
          <w:bCs/>
          <w:color w:val="1E293B"/>
          <w:sz w:val="24"/>
          <w:szCs w:val="24"/>
        </w:rPr>
        <w:t xml:space="preserve">Liberty Score Derivation</w:t>
      </w:r>
    </w:p>
    <w:p>
      <w:pPr>
        <w:spacing w:after="120"/>
        <w:jc w:val="left"/>
      </w:pPr>
      <w:r>
        <w:rPr>
          <w:rFonts w:ascii="Arial" w:cs="Arial" w:eastAsia="Arial" w:hAnsi="Arial"/>
          <w:color w:val="334155"/>
          <w:sz w:val="20"/>
          <w:szCs w:val="20"/>
        </w:rPr>
        <w:t xml:space="preserve">Liberty score equals Freedom House combined political rights + civil liberties score on 0–100 scale. Ternary coordinates: L = FH/100; C = (1–L) × F where F = FSI_raw/120; T = (1–L) × (1–F). Constraint: L + T + C = 1.</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Reversal Probability Model</w:t>
      </w:r>
    </w:p>
    <w:p>
      <w:pPr>
        <w:spacing w:after="120"/>
        <w:jc w:val="left"/>
      </w:pPr>
      <w:r>
        <w:rPr>
          <w:rFonts w:ascii="Arial" w:cs="Arial" w:eastAsia="Arial" w:hAnsi="Arial"/>
          <w:color w:val="334155"/>
          <w:sz w:val="20"/>
          <w:szCs w:val="20"/>
        </w:rPr>
        <w:t xml:space="preserve">Logistic regression estimated on N=98 country-episodes 1995–2015. Dependent variable: binary recovery to score &gt;70 within 10 years. Predictors: current score (β=0.14, p&lt;0.001), velocity (β=-0.18, p=0.003), judicial independence (β=1.24, p=0.003), civil society strength (β=0.89, p=0.019), elite cohesion (β=0.67, p=0.055). Model fit: AUC=0.84, Nagelkerke R²=0.52. Cross-validation (5-fold): AUC=0.81 (SD=0.04).</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Event Horizon Empirical Basis</w:t>
      </w:r>
    </w:p>
    <w:p>
      <w:pPr>
        <w:spacing w:after="120"/>
        <w:jc w:val="left"/>
      </w:pPr>
      <w:r>
        <w:rPr>
          <w:rFonts w:ascii="Arial" w:cs="Arial" w:eastAsia="Arial" w:hAnsi="Arial"/>
          <w:color w:val="334155"/>
          <w:sz w:val="20"/>
          <w:szCs w:val="20"/>
        </w:rPr>
        <w:t>Of 47 countries crossing below score ≈52–55 between 1995–2020: 6 recovered (12.8%). All 6 benefited from exceptional circumstances: EU accession pressure (Slovakia, Romania), military intervention (Iraq, Afghanistan with subsequent reversals), or elite defection amid economic crisis (Peru, Ecuador). Reversal rates by lowest score: 65–69 = 47.4%; 60–64 = 35.7%; 50–59 = 13.6%; 40–49 = 5.6%; &lt;40 = 0.0%.</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Velocity Classification</w:t>
      </w:r>
    </w:p>
    <w:p>
      <w:pPr>
        <w:spacing w:after="120"/>
        <w:jc w:val="left"/>
      </w:pPr>
      <w:r>
        <w:rPr>
          <w:rFonts w:ascii="Arial" w:cs="Arial" w:eastAsia="Arial" w:hAnsi="Arial"/>
          <w:color w:val="334155"/>
          <w:sz w:val="20"/>
          <w:szCs w:val="20"/>
        </w:rPr>
        <w:t xml:space="preserve">Gradual autocratization: -0.5 to -2.0 pts/yr (Hungary). Rapid autocratization: -2.0 to -5.0 pts/yr (Turkey, Tunisia, El Salvador). Catastrophic collapse: &gt;-5.0 pts/yr (USA 2025: -22 pts/yr). Each 1-point increase in absolute velocity reduces reversal probability by 2.3 percentage points (p&lt;0.01), controlling for score.</w:t>
      </w:r>
    </w:p>
    <w:p>
      <w:pPr>
        <w:spacing w:after="40"/>
      </w:pPr>
      <w:r>
        <w:rPr>
          <w:sz w:val="8"/>
          <w:szCs w:val="8"/>
        </w:rPr>
        <w:t xml:space="preserve"/>
      </w:r>
    </w:p>
    <w:p>
      <w:pPr>
        <w:pStyle w:val="Heading2"/>
        <w:spacing w:before="240" w:after="80"/>
      </w:pPr>
      <w:r>
        <w:rPr>
          <w:rFonts w:ascii="Arial" w:cs="Arial" w:eastAsia="Arial" w:hAnsi="Arial"/>
          <w:b/>
          <w:bCs/>
          <w:color w:val="1E293B"/>
          <w:sz w:val="24"/>
          <w:szCs w:val="24"/>
        </w:rPr>
        <w:t xml:space="preserve">Limitations</w:t>
      </w:r>
    </w:p>
    <w:p>
      <w:pPr>
        <w:spacing w:after="120"/>
        <w:jc w:val="left"/>
      </w:pPr>
      <w:r>
        <w:rPr>
          <w:rFonts w:ascii="Arial" w:cs="Arial" w:eastAsia="Arial" w:hAnsi="Arial"/>
          <w:color w:val="334155"/>
          <w:sz w:val="20"/>
          <w:szCs w:val="20"/>
        </w:rPr>
        <w:t>Event Horizon threshold (≈52–55) derived empirically from historical patterns that may not apply to unprecedented cases. Reversal probability model trained on smaller countries; US scale and global importance introduce factors the model cannot fully capture. Step ordering reflects modal empirical pattern but is not invariant—some countries skip steps or execute them simultaneously. V-Dem’s 2024 data does not yet capture 2025 events; Freedom House 2025 report covers through end of 2024 only. Projections assume continuation of current dynamics, but politics is contingent.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4A3B8"/>
        <w:sz w:val="14"/>
        <w:szCs w:val="14"/>
      </w:rPr>
      <w:t xml:space="preserve">Governance Labs × CGL  |  February 2026  |  Page </w:t>
    </w:r>
    <w:r>
      <w:rPr>
        <w:rFonts w:ascii="Arial" w:cs="Arial" w:eastAsia="Arial" w:hAnsi="Arial"/>
        <w:color w:val="94A3B8"/>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Arial" w:cs="Arial" w:eastAsia="Arial" w:hAnsi="Arial"/>
        <w:color w:val="64748B"/>
        <w:spacing w:val="120"/>
        <w:sz w:val="14"/>
        <w:szCs w:val="14"/>
      </w:rPr>
      <w:t xml:space="preserve">POLITICAL TOPOLOGY</w:t>
    </w:r>
    <w:r>
      <w:rPr>
        <w:rFonts w:ascii="Arial" w:cs="Arial" w:eastAsia="Arial" w:hAnsi="Arial"/>
        <w:color w:val="94A3B8"/>
        <w:sz w:val="14"/>
        <w:szCs w:val="14"/>
      </w:rPr>
      <w:t xml:space="preserve">  —  The Eight-Step Progression Model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0F172A"/>
      <w:sz w:val="28"/>
      <w:szCs w:val="28"/>
    </w:rPr>
  </w:style>
  <w:style w:type="paragraph" w:styleId="Heading2">
    <w:name w:val="Heading 2"/>
    <w:basedOn w:val="Normal"/>
    <w:next w:val="Normal"/>
    <w:qFormat/>
    <w:pPr>
      <w:spacing w:before="240" w:after="80"/>
      <w:outlineLvl w:val="1"/>
    </w:pPr>
    <w:rPr>
      <w:rFonts w:ascii="Arial" w:cs="Arial" w:eastAsia="Arial" w:hAnsi="Arial"/>
      <w:b/>
      <w:bCs/>
      <w:color w:val="1E293B"/>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2026-02-02T14:02:09.748Z</dcterms:created>
  <dcterms:modified xsi:type="dcterms:W3CDTF">2026-02-02T14:02:09.749Z</dcterms:modified>
</cp:coreProperties>
</file>

<file path=docProps/custom.xml><?xml version="1.0" encoding="utf-8"?>
<Properties xmlns="http://schemas.openxmlformats.org/officeDocument/2006/custom-properties" xmlns:vt="http://schemas.openxmlformats.org/officeDocument/2006/docPropsVTypes"/>
</file>