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rFonts w:ascii="Arial" w:cs="Arial" w:eastAsia="Arial" w:hAnsi="Arial"/>
          <w:b/>
          <w:bCs/>
          <w:color w:val="1A1A1A"/>
          <w:sz w:val="40"/>
          <w:szCs w:val="40"/>
        </w:rPr>
        <w:t xml:space="preserve">POLITICAL TOPOLOGY</w:t>
      </w:r>
    </w:p>
    <w:p>
      <w:pPr>
        <w:spacing w:after="60"/>
      </w:pPr>
      <w:r>
        <w:rPr>
          <w:rFonts w:ascii="Arial" w:cs="Arial" w:eastAsia="Arial" w:hAnsi="Arial"/>
          <w:color w:val="6B7280"/>
          <w:sz w:val="28"/>
          <w:szCs w:val="28"/>
        </w:rPr>
        <w:t xml:space="preserve">225 Years of Liberty, Tyranny &amp; Chaos</w:t>
      </w:r>
    </w:p>
    <w:p>
      <w:pPr>
        <w:pBdr>
          <w:bottom w:val="single" w:color="DC2626" w:sz="6"/>
        </w:pBdr>
        <w:spacing w:after="200"/>
      </w:pPr>
      <w:r>
        <w:rPr>
          <w:rFonts w:ascii="Arial" w:cs="Arial" w:eastAsia="Arial" w:hAnsi="Arial"/>
          <w:color w:val="2563EB"/>
          <w:sz w:val="20"/>
          <w:szCs w:val="20"/>
        </w:rPr>
        <w:t xml:space="preserve">Calculation Methodology, Data Sources &amp; Citation Guide</w:t>
      </w:r>
    </w:p>
    <w:p>
      <w:pPr>
        <w:spacing w:after="200"/>
      </w:pPr>
      <w:r>
        <w:rPr>
          <w:rFonts w:ascii="Arial" w:cs="Arial" w:eastAsia="Arial" w:hAnsi="Arial"/>
          <w:color w:val="6B7280"/>
          <w:sz w:val="18"/>
          <w:szCs w:val="18"/>
        </w:rPr>
        <w:t>91 Countries  ·  1800–2025  ·  1,656 Data Points  ·  Governance Labs</w:t>
      </w:r>
    </w:p>
    <w:p>
      <w:pPr>
        <w:pStyle w:val="Heading1"/>
      </w:pPr>
      <w:r>
        <w:t xml:space="preserve">1. The Ternary Coordinate System</w:t>
      </w:r>
    </w:p>
    <w:p>
      <w:pPr>
        <w:spacing w:after="120"/>
      </w:pPr>
      <w:r>
        <w:t xml:space="preserve">Every political system occupies a single point in a three-dimensional phase space defined by three ideal-typical configurations of power. The ternary constraint </w:t>
      </w:r>
      <w:r>
        <w:rPr>
          <w:b/>
          <w:bCs/>
          <w:color w:val="2563EB"/>
        </w:rPr>
        <w:t xml:space="preserve">L + T + C = 100</w:t>
      </w:r>
      <w:r>
        <w:t xml:space="preserve"> is enforced at every data point, ensuring that the three dimensions are mutually exhaustive and collectively complete. No political system escapes the triangle.</w:t>
      </w:r>
    </w:p>
    <w:p>
      <w:pPr>
        <w:pStyle w:val="Heading2"/>
      </w:pPr>
      <w:r>
        <w:t xml:space="preserve">1.1 Vertex Definitions</w:t>
      </w:r>
    </w:p>
    <w:p>
      <w:pPr>
        <w:spacing w:after="80"/>
      </w:pPr>
      <w:r>
        <w:rPr>
          <w:b/>
          <w:bCs/>
          <w:color w:val="059669"/>
        </w:rPr>
        <w:t xml:space="preserve">Liberty (L): </w:t>
      </w:r>
      <w:r>
        <w:t xml:space="preserve">Distributed power with institutional constraints. Measured by suffrage breadth, civil liberties protections, press freedom, judicial independence, legislative authority, and opposition rights. High L implies multiple veto points, rule of law, and peaceful transfer of power. Operationally corresponds to Freedom House scores above 70 (post-1972) or V-Dem Electoral Democracy Index &gt; 0.7 (pre-1972).</w:t>
      </w:r>
    </w:p>
    <w:p>
      <w:pPr>
        <w:spacing w:after="80"/>
      </w:pPr>
      <w:r>
        <w:rPr>
          <w:b/>
          <w:bCs/>
          <w:color w:val="DC2626"/>
        </w:rPr>
        <w:t xml:space="preserve">Tyranny (T): </w:t>
      </w:r>
      <w:r>
        <w:t xml:space="preserve">Concentrated autocratic power with stable coercion. The regime maintains territorial control, monopoly on violence, and administrative capacity—but concentrates these in narrow hands. Measured by executive power concentration, censorship, political imprisonment, security apparatus scale, and elite co-optation mechanisms. High T implies effective but repressive governance.</w:t>
      </w:r>
    </w:p>
    <w:p>
      <w:pPr>
        <w:spacing w:after="120"/>
      </w:pPr>
      <w:r>
        <w:rPr>
          <w:b/>
          <w:bCs/>
          <w:color w:val="D97706"/>
        </w:rPr>
        <w:t xml:space="preserve">Chaos (C): </w:t>
      </w:r>
      <w:r>
        <w:t xml:space="preserve">Fragmented power among competing actors. No single authority maintains territorial control or monopoly on legitimate violence. Measured by state fragility, civil conflict intensity, territorial fragmentation, and governance vacuum indicators. High C implies failed or failing statehood—the Hobbesian nightmare.</w:t>
      </w:r>
    </w:p>
    <w:p>
      <w:pPr>
        <w:pStyle w:val="Heading2"/>
      </w:pPr>
      <w:r>
        <w:t xml:space="preserve">1.2 The Attractor Framework</w:t>
      </w:r>
    </w:p>
    <w:p>
      <w:pPr>
        <w:spacing w:after="120"/>
      </w:pPr>
      <w:r>
        <w:t xml:space="preserve">The phase space contains three attractor basins where political systems tend to stabilize. The </w:t>
      </w:r>
      <w:r>
        <w:rPr>
          <w:b/>
          <w:bCs/>
          <w:color w:val="059669"/>
        </w:rPr>
        <w:t xml:space="preserve">Democracy Attractor</w:t>
      </w:r>
      <w:r>
        <w:t xml:space="preserve"> (L &gt; 80) represents self-reinforcing institutional configurations. The </w:t>
      </w:r>
      <w:r>
        <w:rPr>
          <w:b/>
          <w:bCs/>
          <w:color w:val="DC2626"/>
        </w:rPr>
        <w:t xml:space="preserve">Autocracy Attractor</w:t>
      </w:r>
      <w:r>
        <w:t xml:space="preserve"> (T &gt; 60) represents stable coercive equilibria. The </w:t>
      </w:r>
      <w:r>
        <w:rPr>
          <w:b/>
          <w:bCs/>
          <w:color w:val="D97706"/>
        </w:rPr>
        <w:t xml:space="preserve">Failed State Attractor</w:t>
      </w:r>
      <w:r>
        <w:t xml:space="preserve"> (C &gt; 60) represents sustained state collapse. Between the attractors lies an unstable middle ground—a saddle point in dynamical systems terminology—where countries experience competing gravitational pulls and rarely remain for long.</w:t>
      </w:r>
    </w:p>
    <w:p>
      <w:pPr>
        <w:pStyle w:val="Heading2"/>
      </w:pPr>
      <w:r>
        <w:t xml:space="preserve">1.3 The Event Horizon</w:t>
      </w:r>
    </w:p>
    <w:p>
      <w:pPr>
        <w:spacing w:after="120"/>
      </w:pPr>
      <w:r>
        <w:t>At Liberty ≈ 52–55</w:t>
      </w:r>
      <w:r>
        <w:rPr>
          <w:b/>
          <w:bCs/>
          <w:color w:val="DC2626"/>
        </w:rPr>
      </w:r>
      <w:r>
        <w:t>, our analysis identifies a critical threshold. Historical reversal probability analysis shows that countries falling below L≈52–55 recover to L≥70 in fewer than 12% of cases within 15 years. Below L=40, recovery probability drops below 4% without extraordinary exogenous intervention. This threshold functions as a political event horizon—once crossed, the gravitational pull toward autocracy or chaos exceeds institutional friction.</w:t>
      </w:r>
    </w:p>
    <w:p>
      <w:r>
        <w:r>
          <w:br w:type="page"/>
        </w:r>
      </w:r>
    </w:p>
    <w:p>
      <w:pPr>
        <w:pStyle w:val="Heading1"/>
      </w:pPr>
      <w:r>
        <w:t xml:space="preserve">2. Data Derivation by Period</w:t>
      </w:r>
    </w:p>
    <w:p>
      <w:pPr>
        <w:pStyle w:val="Heading3"/>
      </w:pPr>
      <w:r>
        <w:t xml:space="preserve">Period 1: 1800–1899 — Pre-Systematic Measurement</w:t>
      </w:r>
    </w:p>
    <w:p>
      <w:pPr>
        <w:spacing w:after="80"/>
      </w:pPr>
      <w:r>
        <w:rPr>
          <w:b/>
          <w:bCs/>
        </w:rPr>
        <w:t xml:space="preserve">Primary Sources: </w:t>
      </w:r>
      <w:r>
        <w:t xml:space="preserve">V-Dem Historical Dataset v14 (backcast to 1789); Polity5 time-series (1800+); Boix-Miller-Rosato binary democracy classification; constitutional and parliamentary histories.</w:t>
      </w:r>
    </w:p>
    <w:p>
      <w:pPr>
        <w:pStyle w:val="ListParagraph"/>
        <w:numPr>
          <w:ilvl w:val="0"/>
          <w:numId w:val="2"/>
        </w:numPr>
      </w:pPr>
      <w:r>
        <w:rPr>
          <w:b/>
          <w:bCs/>
        </w:rPr>
        <w:t xml:space="preserve">Liberty: </w:t>
      </w:r>
      <w:r>
        <w:t xml:space="preserve">Derived from constitutional provisions, suffrage breadth (% of adult population enfranchised), press freedom indicators, judicial independence from executive, and parliamentary authority versus royal/executive prerogative. Key adjustments: U.S. scored at L=42 in 1800 reflecting slaveholding republic with &lt;15% effective adult suffrage; UK at L=32 reflecting pre-Reform Act oligarchy.</w:t>
      </w:r>
    </w:p>
    <w:p>
      <w:pPr>
        <w:pStyle w:val="ListParagraph"/>
        <w:numPr>
          <w:ilvl w:val="0"/>
          <w:numId w:val="2"/>
        </w:numPr>
      </w:pPr>
      <w:r>
        <w:rPr>
          <w:b/>
          <w:bCs/>
        </w:rPr>
        <w:t xml:space="preserve">Tyranny: </w:t>
      </w:r>
      <w:r>
        <w:t xml:space="preserve">Concentration of executive power, repression apparatus (political police, censorship offices), elite control mechanisms, political imprisonment rates, and restrictions on assembly/association.</w:t>
      </w:r>
    </w:p>
    <w:p>
      <w:pPr>
        <w:pStyle w:val="ListParagraph"/>
        <w:numPr>
          <w:ilvl w:val="0"/>
          <w:numId w:val="2"/>
        </w:numPr>
        <w:spacing w:after="120"/>
      </w:pPr>
      <w:r>
        <w:rPr>
          <w:b/>
          <w:bCs/>
        </w:rPr>
        <w:t xml:space="preserve">Chaos: </w:t>
      </w:r>
      <w:r>
        <w:t xml:space="preserve">Civil wars, territorial disputes, revolutionary upheaval, succession crises, foreign occupation. Pre-independence territories scored for governance quality of the colonial/imperial regime over the territory, NOT the metropole's domestic score.</w:t>
      </w:r>
    </w:p>
    <w:p>
      <w:pPr>
        <w:pStyle w:val="Heading3"/>
      </w:pPr>
      <w:r>
        <w:t xml:space="preserve">Period 2: 1900–1971 — Mixed Sources</w:t>
      </w:r>
    </w:p>
    <w:p>
      <w:pPr>
        <w:spacing w:after="80"/>
      </w:pPr>
      <w:r>
        <w:rPr>
          <w:b/>
          <w:bCs/>
        </w:rPr>
        <w:t xml:space="preserve">Primary Sources: </w:t>
      </w:r>
      <w:r>
        <w:t xml:space="preserve">V-Dem Electoral Democracy Index + Liberal Component Index; Polity5 combined score (POLITY2); Boix-Miller-Rosato binary crosscheck; Correlates of War battle deaths for conflict intensity.</w:t>
      </w:r>
    </w:p>
    <w:p>
      <w:pPr>
        <w:spacing w:after="120"/>
      </w:pPr>
      <w:r>
        <w:t xml:space="preserve">Liberty calibrated to V-Dem's continuous 0–1 scale, mapped to 0–100. Suffrage expansion tracked as major inflection point (e.g., women's suffrage raises L by 8–15 points depending on prior baseline). Tyranny from V-Dem executive constraints and Polity5 XCONST/XRCOMP variables. Chaos from V-Dem state authority indicators and Correlates of War conflict datasets.</w:t>
      </w:r>
    </w:p>
    <w:p>
      <w:pPr>
        <w:pStyle w:val="Heading3"/>
      </w:pPr>
      <w:r>
        <w:t xml:space="preserve">Period 3: 1972–2005 — Freedom House Era</w:t>
      </w:r>
    </w:p>
    <w:p>
      <w:pPr>
        <w:spacing w:after="80"/>
      </w:pPr>
      <w:r>
        <w:rPr>
          <w:b/>
          <w:bCs/>
        </w:rPr>
        <w:t xml:space="preserve">Primary Sources: </w:t>
      </w:r>
      <w:r>
        <w:t xml:space="preserve">Freedom House Freedom in the World aggregate scores (0–100); V-Dem (cross-validation); Polity5 (cross-validation); State Failure Task Force indicators (pre-FSI).</w:t>
      </w:r>
    </w:p>
    <w:p>
      <w:pPr>
        <w:spacing w:after="120"/>
      </w:pPr>
      <w:r>
        <w:rPr>
          <w:b/>
          <w:bCs/>
        </w:rPr>
        <w:t xml:space="preserve">Calculation: </w:t>
      </w:r>
      <w:r>
        <w:t xml:space="preserve">L = FH_aggregate / 100, scaled to ternary share. C = (100 – L) × FSI_normalized, where FSI_normalized = (FSI – 20) / (120 – 20), clipped to [0, 1]. T = 100 – L – C (residual). Cross-validated against V-Dem Liberal Democracy Index; discrepancies &gt; 10 points investigated and resolved by committee judgment.</w:t>
      </w:r>
    </w:p>
    <w:p>
      <w:pPr>
        <w:pStyle w:val="Heading3"/>
      </w:pPr>
      <w:r>
        <w:t xml:space="preserve">Period 4: 2006–2025 — Full Integration</w:t>
      </w:r>
    </w:p>
    <w:p>
      <w:pPr>
        <w:spacing w:after="120"/>
      </w:pPr>
      <w:r>
        <w:rPr>
          <w:b/>
          <w:bCs/>
        </w:rPr>
        <w:t xml:space="preserve">Primary Sources: </w:t>
      </w:r>
      <w:r>
        <w:t xml:space="preserve">Freedom House aggregate (0–100); V-Dem Liberal Democracy Index; Fragile States Index (Fund for Peace); Bertelsmann Transformation Index. Full triangulation across all four sources. 2025 U.S. score (L=48) reflects Freedom House methodology applied to executive action pace, judicial independence erosion, and civil liberties restrictions documented through January 2025.</w:t>
      </w:r>
    </w:p>
    <w:p>
      <w:pPr>
        <w:pStyle w:val="Heading1"/>
      </w:pPr>
      <w:r>
        <w:t xml:space="preserve">3. Constraint Enforcement &amp; Quality Control</w:t>
      </w:r>
    </w:p>
    <w:p>
      <w:pPr>
        <w:spacing w:after="120"/>
      </w:pPr>
      <w:r>
        <w:t xml:space="preserve">The ternary constraint L + T + C = 100 is enforced at every data point. When raw derivation yields sum ≠ 100, proportional adjustment is applied: each component adjusted by its share of the deviation. No component may be negative. Interpolation between explicit data points uses linear interpolation in each dimension independently. Data points are placed at major inflection points (regime changes, coups, elections, constitutional reforms, wars, independence events)—NOT at regular intervals.</w:t>
      </w:r>
    </w:p>
    <w:p>
      <w:pPr>
        <w:pStyle w:val="Heading1"/>
      </w:pPr>
      <w:r>
        <w:t xml:space="preserve">4. Known Limitations</w:t>
      </w:r>
    </w:p>
    <w:p>
      <w:pPr>
        <w:pStyle w:val="ListParagraph"/>
        <w:numPr>
          <w:ilvl w:val="0"/>
          <w:numId w:val="3"/>
        </w:numPr>
      </w:pPr>
      <w:r>
        <w:rPr>
          <w:b/>
          <w:bCs/>
        </w:rPr>
        <w:t xml:space="preserve">Pre-1900 precision: </w:t>
      </w:r>
      <w:r>
        <w:t xml:space="preserve">Scores carry uncertainty of approximately ±10 points. Historiographic judgment necessarily supplements quantitative indicators.</w:t>
      </w:r>
    </w:p>
    <w:p>
      <w:pPr>
        <w:pStyle w:val="ListParagraph"/>
        <w:numPr>
          <w:ilvl w:val="0"/>
          <w:numId w:val="3"/>
        </w:numPr>
      </w:pPr>
      <w:r>
        <w:rPr>
          <w:b/>
          <w:bCs/>
        </w:rPr>
        <w:t xml:space="preserve">Colonial decomposition: </w:t>
      </w:r>
      <w:r>
        <w:t xml:space="preserve">Separating governance quality in a colony from the metropole's domestic institutions requires subjective judgment about administrative practices.</w:t>
      </w:r>
    </w:p>
    <w:p>
      <w:pPr>
        <w:pStyle w:val="ListParagraph"/>
        <w:numPr>
          <w:ilvl w:val="0"/>
          <w:numId w:val="3"/>
        </w:numPr>
      </w:pPr>
      <w:r>
        <w:rPr>
          <w:b/>
          <w:bCs/>
        </w:rPr>
        <w:t xml:space="preserve">Suffrage restrictions: </w:t>
      </w:r>
      <w:r>
        <w:t xml:space="preserve">Historical 'democracies' with race- or gender-based exclusions score substantially lower than their modern equivalents. The U.S. at L=42 in 1800 reflects this.</w:t>
      </w:r>
    </w:p>
    <w:p>
      <w:pPr>
        <w:pStyle w:val="ListParagraph"/>
        <w:numPr>
          <w:ilvl w:val="0"/>
          <w:numId w:val="3"/>
        </w:numPr>
      </w:pPr>
      <w:r>
        <w:rPr>
          <w:b/>
          <w:bCs/>
        </w:rPr>
        <w:t xml:space="preserve">Intra-year volatility: </w:t>
      </w:r>
      <w:r>
        <w:t xml:space="preserve">Single-point-in-time snapshots may miss rapid changes (e.g., a coup in March followed by restoration in September).</w:t>
      </w:r>
    </w:p>
    <w:p>
      <w:pPr>
        <w:pStyle w:val="ListParagraph"/>
        <w:numPr>
          <w:ilvl w:val="0"/>
          <w:numId w:val="3"/>
        </w:numPr>
        <w:spacing w:after="120"/>
      </w:pPr>
      <w:r>
        <w:rPr>
          <w:b/>
          <w:bCs/>
        </w:rPr>
        <w:t xml:space="preserve">Projection uncertainty: </w:t>
      </w:r>
      <w:r>
        <w:t xml:space="preserve">2025 scores for rapidly changing regimes carry higher uncertainty than stable ones.</w:t>
      </w:r>
    </w:p>
    <w:p>
      <w:r>
        <w:r>
          <w:br w:type="page"/>
        </w:r>
      </w:r>
    </w:p>
    <w:p>
      <w:pPr>
        <w:pStyle w:val="Heading1"/>
      </w:pPr>
      <w:r>
        <w:t xml:space="preserve">5. Full Bibliography</w:t>
      </w:r>
    </w:p>
    <w:p>
      <w:pPr>
        <w:pStyle w:val="Heading2"/>
      </w:pPr>
      <w:r>
        <w:t xml:space="preserve">5.1 Primary Quantitative Datasets</w:t>
      </w:r>
    </w:p>
    <w:p>
      <w:pPr>
        <w:pStyle w:val="ListParagraph"/>
        <w:numPr>
          <w:ilvl w:val="0"/>
          <w:numId w:val="2"/>
        </w:numPr>
        <w:spacing w:after="60"/>
      </w:pPr>
      <w:r>
        <w:rPr>
          <w:rFonts w:ascii="Arial" w:cs="Arial" w:eastAsia="Arial" w:hAnsi="Arial"/>
          <w:color w:val="1A1A1A"/>
          <w:sz w:val="20"/>
          <w:szCs w:val="20"/>
        </w:rPr>
        <w:t xml:space="preserve">Boix, Carles, Michael Miller, and Sebastian Rosato. “A Complete Data Set of Political Regimes, 1800–2007.” Comparative Political Studies 46, no. 12 (2013): 1523–54. Updated through 2020.</w:t>
      </w:r>
    </w:p>
    <w:p>
      <w:pPr>
        <w:pStyle w:val="ListParagraph"/>
        <w:numPr>
          <w:ilvl w:val="0"/>
          <w:numId w:val="2"/>
        </w:numPr>
        <w:spacing w:after="60"/>
      </w:pPr>
      <w:r>
        <w:rPr>
          <w:rFonts w:ascii="Arial" w:cs="Arial" w:eastAsia="Arial" w:hAnsi="Arial"/>
          <w:color w:val="1A1A1A"/>
          <w:sz w:val="20"/>
          <w:szCs w:val="20"/>
        </w:rPr>
        <w:t xml:space="preserve">Coppedge, Michael, John Gerring, Carl Henrik Knutsen, et al. V-Dem Dataset v14. Varieties of Democracy (V-Dem) Project. University of Gothenburg, 2024. https://v-dem.net/data/</w:t>
      </w:r>
    </w:p>
    <w:p>
      <w:pPr>
        <w:pStyle w:val="ListParagraph"/>
        <w:numPr>
          <w:ilvl w:val="0"/>
          <w:numId w:val="2"/>
        </w:numPr>
        <w:spacing w:after="60"/>
      </w:pPr>
      <w:r>
        <w:rPr>
          <w:rFonts w:ascii="Arial" w:cs="Arial" w:eastAsia="Arial" w:hAnsi="Arial"/>
          <w:color w:val="1A1A1A"/>
          <w:sz w:val="20"/>
          <w:szCs w:val="20"/>
        </w:rPr>
        <w:t xml:space="preserve">Freedom House. Freedom in the World 2025: The Mounting Damage of Flawed Elections. Washington, DC: Freedom House, 2025. https://freedomhouse.org/report/freedom-world</w:t>
      </w:r>
    </w:p>
    <w:p>
      <w:pPr>
        <w:pStyle w:val="ListParagraph"/>
        <w:numPr>
          <w:ilvl w:val="0"/>
          <w:numId w:val="2"/>
        </w:numPr>
        <w:spacing w:after="60"/>
      </w:pPr>
      <w:r>
        <w:rPr>
          <w:rFonts w:ascii="Arial" w:cs="Arial" w:eastAsia="Arial" w:hAnsi="Arial"/>
          <w:color w:val="1A1A1A"/>
          <w:sz w:val="20"/>
          <w:szCs w:val="20"/>
        </w:rPr>
        <w:t xml:space="preserve">Fund for Peace. Fragile States Index Annual Report 2024. Washington, DC: Fund for Peace, 2024. https://fragilestatesindex.org/</w:t>
      </w:r>
    </w:p>
    <w:p>
      <w:pPr>
        <w:pStyle w:val="ListParagraph"/>
        <w:numPr>
          <w:ilvl w:val="0"/>
          <w:numId w:val="2"/>
        </w:numPr>
        <w:spacing w:after="60"/>
      </w:pPr>
      <w:r>
        <w:rPr>
          <w:rFonts w:ascii="Arial" w:cs="Arial" w:eastAsia="Arial" w:hAnsi="Arial"/>
          <w:color w:val="1A1A1A"/>
          <w:sz w:val="20"/>
          <w:szCs w:val="20"/>
        </w:rPr>
        <w:t xml:space="preserve">Marshall, Monty G. and Ted Robert Gurr. Polity5: Political Regime Characteristics and Transitions, 1800–2018. Center for Systemic Peace, 2020. http://www.systemicpeace.org/polity/polity5.htm</w:t>
      </w:r>
    </w:p>
    <w:p>
      <w:pPr>
        <w:pStyle w:val="ListParagraph"/>
        <w:numPr>
          <w:ilvl w:val="0"/>
          <w:numId w:val="2"/>
        </w:numPr>
        <w:spacing w:after="60"/>
      </w:pPr>
      <w:r>
        <w:rPr>
          <w:rFonts w:ascii="Arial" w:cs="Arial" w:eastAsia="Arial" w:hAnsi="Arial"/>
          <w:color w:val="1A1A1A"/>
          <w:sz w:val="20"/>
          <w:szCs w:val="20"/>
        </w:rPr>
        <w:t xml:space="preserve">Bertelsmann Stiftung. BTI 2024 Country Reports. Gütersloh: Bertelsmann Stiftung, 2024. https://bti-project.org/</w:t>
      </w:r>
    </w:p>
    <w:p>
      <w:pPr>
        <w:pStyle w:val="ListParagraph"/>
        <w:numPr>
          <w:ilvl w:val="0"/>
          <w:numId w:val="2"/>
        </w:numPr>
        <w:spacing w:after="60"/>
      </w:pPr>
      <w:r>
        <w:rPr>
          <w:rFonts w:ascii="Arial" w:cs="Arial" w:eastAsia="Arial" w:hAnsi="Arial"/>
          <w:color w:val="1A1A1A"/>
          <w:sz w:val="20"/>
          <w:szCs w:val="20"/>
        </w:rPr>
        <w:t xml:space="preserve">Sarkees, Meredith Reid and Frank Wayman. Resort to War: 1816–2007. Washington, DC: CQ Press, 2010. https://correlatesofwar.org/</w:t>
      </w:r>
    </w:p>
    <w:p>
      <w:pPr>
        <w:pStyle w:val="Heading2"/>
      </w:pPr>
      <w:r>
        <w:t xml:space="preserve">5.2 Theoretical Framework Sources</w:t>
      </w:r>
    </w:p>
    <w:p>
      <w:pPr>
        <w:pStyle w:val="ListParagraph"/>
        <w:numPr>
          <w:ilvl w:val="0"/>
          <w:numId w:val="2"/>
        </w:numPr>
        <w:spacing w:after="60"/>
      </w:pPr>
      <w:r>
        <w:rPr>
          <w:rFonts w:ascii="Arial" w:cs="Arial" w:eastAsia="Arial" w:hAnsi="Arial"/>
          <w:color w:val="1A1A1A"/>
          <w:sz w:val="20"/>
          <w:szCs w:val="20"/>
        </w:rPr>
        <w:t xml:space="preserve">Geddes, Barbara. “What Do We Know About Democratization After Twenty Years?” Annual Review of Political Science 2 (1999): 115–44.</w:t>
      </w:r>
    </w:p>
    <w:p>
      <w:pPr>
        <w:pStyle w:val="ListParagraph"/>
        <w:numPr>
          <w:ilvl w:val="0"/>
          <w:numId w:val="2"/>
        </w:numPr>
        <w:spacing w:after="60"/>
      </w:pPr>
      <w:r>
        <w:rPr>
          <w:rFonts w:ascii="Arial" w:cs="Arial" w:eastAsia="Arial" w:hAnsi="Arial"/>
          <w:color w:val="1A1A1A"/>
          <w:sz w:val="20"/>
          <w:szCs w:val="20"/>
        </w:rPr>
        <w:t xml:space="preserve">Huntington, Samuel P. The Third Wave: Democratization in the Late Twentieth Century. Norman: University of Oklahoma Press, 1991.</w:t>
      </w:r>
    </w:p>
    <w:p>
      <w:pPr>
        <w:pStyle w:val="ListParagraph"/>
        <w:numPr>
          <w:ilvl w:val="0"/>
          <w:numId w:val="2"/>
        </w:numPr>
        <w:spacing w:after="60"/>
      </w:pPr>
      <w:r>
        <w:rPr>
          <w:rFonts w:ascii="Arial" w:cs="Arial" w:eastAsia="Arial" w:hAnsi="Arial"/>
          <w:color w:val="1A1A1A"/>
          <w:sz w:val="20"/>
          <w:szCs w:val="20"/>
        </w:rPr>
        <w:t xml:space="preserve">Levitsky, Steven and Daniel Ziblatt. How Democracies Die. New York: Crown, 2018.</w:t>
      </w:r>
    </w:p>
    <w:p>
      <w:pPr>
        <w:pStyle w:val="ListParagraph"/>
        <w:numPr>
          <w:ilvl w:val="0"/>
          <w:numId w:val="2"/>
        </w:numPr>
        <w:spacing w:after="60"/>
      </w:pPr>
      <w:r>
        <w:rPr>
          <w:rFonts w:ascii="Arial" w:cs="Arial" w:eastAsia="Arial" w:hAnsi="Arial"/>
          <w:color w:val="1A1A1A"/>
          <w:sz w:val="20"/>
          <w:szCs w:val="20"/>
        </w:rPr>
        <w:t xml:space="preserve">Levitsky, Steven and Lucan Way. Competitive Authoritarianism: Hybrid Regimes After the Cold War. New York: Cambridge University Press, 2010.</w:t>
      </w:r>
    </w:p>
    <w:p>
      <w:pPr>
        <w:pStyle w:val="ListParagraph"/>
        <w:numPr>
          <w:ilvl w:val="0"/>
          <w:numId w:val="2"/>
        </w:numPr>
        <w:spacing w:after="60"/>
      </w:pPr>
      <w:r>
        <w:rPr>
          <w:rFonts w:ascii="Arial" w:cs="Arial" w:eastAsia="Arial" w:hAnsi="Arial"/>
          <w:color w:val="1A1A1A"/>
          <w:sz w:val="20"/>
          <w:szCs w:val="20"/>
        </w:rPr>
        <w:t xml:space="preserve">Linz, Juan J. and Alfred Stepan. Problems of Democratic Transition and Consolidation: Southern Europe, South America, and Post-Communist Europe. Baltimore: Johns Hopkins University Press, 1996.</w:t>
      </w:r>
    </w:p>
    <w:p>
      <w:pPr>
        <w:pStyle w:val="ListParagraph"/>
        <w:numPr>
          <w:ilvl w:val="0"/>
          <w:numId w:val="2"/>
        </w:numPr>
        <w:spacing w:after="60"/>
      </w:pPr>
      <w:r>
        <w:rPr>
          <w:rFonts w:ascii="Arial" w:cs="Arial" w:eastAsia="Arial" w:hAnsi="Arial"/>
          <w:color w:val="1A1A1A"/>
          <w:sz w:val="20"/>
          <w:szCs w:val="20"/>
        </w:rPr>
        <w:t xml:space="preserve">Lührmann, Anna and Staffan I. Lindberg. “A Third Wave of Autocratization Is Here: What Is New About It?” Democratization 26, no. 7 (2019): 1095–1113.</w:t>
      </w:r>
    </w:p>
    <w:p>
      <w:pPr>
        <w:pStyle w:val="ListParagraph"/>
        <w:numPr>
          <w:ilvl w:val="0"/>
          <w:numId w:val="2"/>
        </w:numPr>
        <w:spacing w:after="60"/>
      </w:pPr>
      <w:r>
        <w:rPr>
          <w:rFonts w:ascii="Arial" w:cs="Arial" w:eastAsia="Arial" w:hAnsi="Arial"/>
          <w:color w:val="1A1A1A"/>
          <w:sz w:val="20"/>
          <w:szCs w:val="20"/>
        </w:rPr>
        <w:t xml:space="preserve">O’Donnell, Guillermo, Philippe Schmitter, and Laurence Whitehead, eds. Transitions from Authoritarian Rule. Baltimore: Johns Hopkins University Press, 1986.</w:t>
      </w:r>
    </w:p>
    <w:p>
      <w:pPr>
        <w:pStyle w:val="ListParagraph"/>
        <w:numPr>
          <w:ilvl w:val="0"/>
          <w:numId w:val="2"/>
        </w:numPr>
        <w:spacing w:after="60"/>
      </w:pPr>
      <w:r>
        <w:rPr>
          <w:rFonts w:ascii="Arial" w:cs="Arial" w:eastAsia="Arial" w:hAnsi="Arial"/>
          <w:color w:val="1A1A1A"/>
          <w:sz w:val="20"/>
          <w:szCs w:val="20"/>
        </w:rPr>
        <w:t xml:space="preserve">Schedler, Andreas. The Politics of Uncertainty: Sustaining and Subverting Electoral Authoritarianism. Oxford: Oxford University Press, 2013.</w:t>
      </w:r>
    </w:p>
    <w:p>
      <w:pPr>
        <w:pStyle w:val="ListParagraph"/>
        <w:numPr>
          <w:ilvl w:val="0"/>
          <w:numId w:val="2"/>
        </w:numPr>
        <w:spacing w:after="60"/>
      </w:pPr>
      <w:r>
        <w:rPr>
          <w:rFonts w:ascii="Arial" w:cs="Arial" w:eastAsia="Arial" w:hAnsi="Arial"/>
          <w:color w:val="1A1A1A"/>
          <w:sz w:val="20"/>
          <w:szCs w:val="20"/>
        </w:rPr>
        <w:t xml:space="preserve">Svolik, Milan. “Which Democracies Will Last? Coups, Incumbent Takeovers, and the Dynamic of Democratic Consolidation.” British Journal of Political Science 45, no. 4 (2015): 715–37.</w:t>
      </w:r>
    </w:p>
    <w:p>
      <w:pPr>
        <w:pStyle w:val="ListParagraph"/>
        <w:numPr>
          <w:ilvl w:val="0"/>
          <w:numId w:val="2"/>
        </w:numPr>
        <w:spacing w:after="60"/>
      </w:pPr>
      <w:r>
        <w:rPr>
          <w:rFonts w:ascii="Arial" w:cs="Arial" w:eastAsia="Arial" w:hAnsi="Arial"/>
          <w:color w:val="1A1A1A"/>
          <w:sz w:val="20"/>
          <w:szCs w:val="20"/>
        </w:rPr>
        <w:t xml:space="preserve">V-Dem Institute. Democracy Report 2025: The Fall of a Superpower. University of Gothenburg, 2025. https://v-dem.net/publications/democracy-reports/</w:t>
      </w:r>
    </w:p>
    <w:p>
      <w:pPr>
        <w:pStyle w:val="Heading2"/>
      </w:pPr>
      <w:r>
        <w:t xml:space="preserve">5.3 Regional Historical References</w:t>
      </w:r>
    </w:p>
    <w:p>
      <w:pPr>
        <w:pStyle w:val="ListParagraph"/>
        <w:numPr>
          <w:ilvl w:val="0"/>
          <w:numId w:val="2"/>
        </w:numPr>
        <w:spacing w:after="60"/>
      </w:pPr>
      <w:r>
        <w:rPr>
          <w:rFonts w:ascii="Arial" w:cs="Arial" w:eastAsia="Arial" w:hAnsi="Arial"/>
          <w:color w:val="1A1A1A"/>
          <w:sz w:val="20"/>
          <w:szCs w:val="20"/>
        </w:rPr>
        <w:t xml:space="preserve">Agulhon, Maurice. The French Republic: 1879–1992. Oxford: Blackwell, 1993.</w:t>
      </w:r>
    </w:p>
    <w:p>
      <w:pPr>
        <w:pStyle w:val="ListParagraph"/>
        <w:numPr>
          <w:ilvl w:val="0"/>
          <w:numId w:val="2"/>
        </w:numPr>
        <w:spacing w:after="60"/>
      </w:pPr>
      <w:r>
        <w:rPr>
          <w:rFonts w:ascii="Arial" w:cs="Arial" w:eastAsia="Arial" w:hAnsi="Arial"/>
          <w:color w:val="1A1A1A"/>
          <w:sz w:val="20"/>
          <w:szCs w:val="20"/>
        </w:rPr>
        <w:t xml:space="preserve">Cooper, Frederick. Africa Since 1940: The Past of the Present. Cambridge: Cambridge University Press, 2002.</w:t>
      </w:r>
    </w:p>
    <w:p>
      <w:pPr>
        <w:pStyle w:val="ListParagraph"/>
        <w:numPr>
          <w:ilvl w:val="0"/>
          <w:numId w:val="2"/>
        </w:numPr>
        <w:spacing w:after="60"/>
      </w:pPr>
      <w:r>
        <w:rPr>
          <w:rFonts w:ascii="Arial" w:cs="Arial" w:eastAsia="Arial" w:hAnsi="Arial"/>
          <w:color w:val="1A1A1A"/>
          <w:sz w:val="20"/>
          <w:szCs w:val="20"/>
        </w:rPr>
        <w:t xml:space="preserve">Diamond, Larry and Byung-Kook Kim, eds. Consolidating Democracy in South Korea. Boulder: Lynne Rienner, 2000.</w:t>
      </w:r>
    </w:p>
    <w:p>
      <w:pPr>
        <w:pStyle w:val="ListParagraph"/>
        <w:numPr>
          <w:ilvl w:val="0"/>
          <w:numId w:val="2"/>
        </w:numPr>
        <w:spacing w:after="60"/>
      </w:pPr>
      <w:r>
        <w:rPr>
          <w:rFonts w:ascii="Arial" w:cs="Arial" w:eastAsia="Arial" w:hAnsi="Arial"/>
          <w:color w:val="1A1A1A"/>
          <w:sz w:val="20"/>
          <w:szCs w:val="20"/>
        </w:rPr>
        <w:t xml:space="preserve">Fulbrook, Mary. A History of Germany 1918–2020: The Divided Nation. 4th ed. Oxford: Wiley-Blackwell, 2021.</w:t>
      </w:r>
    </w:p>
    <w:p>
      <w:pPr>
        <w:pStyle w:val="ListParagraph"/>
        <w:numPr>
          <w:ilvl w:val="0"/>
          <w:numId w:val="2"/>
        </w:numPr>
        <w:spacing w:after="60"/>
      </w:pPr>
      <w:r>
        <w:rPr>
          <w:rFonts w:ascii="Arial" w:cs="Arial" w:eastAsia="Arial" w:hAnsi="Arial"/>
          <w:color w:val="1A1A1A"/>
          <w:sz w:val="20"/>
          <w:szCs w:val="20"/>
        </w:rPr>
        <w:t xml:space="preserve">Lynch, Marc. The New Arab Wars: Uprisings and Anarchy in the Middle East. New York: PublicAffairs, 2016.</w:t>
      </w:r>
    </w:p>
    <w:p>
      <w:pPr>
        <w:pStyle w:val="ListParagraph"/>
        <w:numPr>
          <w:ilvl w:val="0"/>
          <w:numId w:val="2"/>
        </w:numPr>
        <w:spacing w:after="60"/>
      </w:pPr>
      <w:r>
        <w:rPr>
          <w:rFonts w:ascii="Arial" w:cs="Arial" w:eastAsia="Arial" w:hAnsi="Arial"/>
          <w:color w:val="1A1A1A"/>
          <w:sz w:val="20"/>
          <w:szCs w:val="20"/>
        </w:rPr>
        <w:t xml:space="preserve">McFaul, Michael. “The Fourth Wave of Democracy and Dictatorship: Noncooperative Transitions in the Postcommunist World.” World Politics 54, no. 2 (2002): 212–44.</w:t>
      </w:r>
    </w:p>
    <w:p>
      <w:pPr>
        <w:pStyle w:val="ListParagraph"/>
        <w:numPr>
          <w:ilvl w:val="0"/>
          <w:numId w:val="2"/>
        </w:numPr>
        <w:spacing w:after="60"/>
      </w:pPr>
      <w:r>
        <w:rPr>
          <w:rFonts w:ascii="Arial" w:cs="Arial" w:eastAsia="Arial" w:hAnsi="Arial"/>
          <w:color w:val="1A1A1A"/>
          <w:sz w:val="20"/>
          <w:szCs w:val="20"/>
        </w:rPr>
        <w:t xml:space="preserve">Pearce, Edward. Reform! The Fight for the 1832 Reform Act. London: Jonathan Cape, 2003.</w:t>
      </w:r>
    </w:p>
    <w:p>
      <w:pPr>
        <w:pStyle w:val="ListParagraph"/>
        <w:numPr>
          <w:ilvl w:val="0"/>
          <w:numId w:val="2"/>
        </w:numPr>
        <w:spacing w:after="60"/>
      </w:pPr>
      <w:r>
        <w:rPr>
          <w:rFonts w:ascii="Arial" w:cs="Arial" w:eastAsia="Arial" w:hAnsi="Arial"/>
          <w:color w:val="1A1A1A"/>
          <w:sz w:val="20"/>
          <w:szCs w:val="20"/>
        </w:rPr>
        <w:t xml:space="preserve">Zürcher, Erik Jan. Turkey: A Modern History. 4th ed. London: I.B. Tauris, 2017.</w:t>
      </w:r>
    </w:p>
    <w:p>
      <w:pPr>
        <w:pStyle w:val="Heading1"/>
      </w:pPr>
      <w:r>
        <w:t xml:space="preserve">6. How to Cite This Dataset</w:t>
      </w:r>
    </w:p>
    <w:p>
      <w:pPr>
        <w:spacing w:after="120"/>
      </w:pPr>
      <w:r>
        <w:rPr>
          <w:b/>
          <w:bCs/>
        </w:rPr>
        <w:t xml:space="preserve">Suggested citation: </w:t>
      </w:r>
      <w:r>
        <w:t>Governance Labs. “Political Topology: 225 Years of Liberty, Tyranny &amp; Chaos — Ternary Phase-Space Dataset, 91 Countries, 1800–2025.” Version 1.0. February 2026. Data derived from Freedom House, V-Dem v14, Polity5, Fragile States Index, and historical constitutional records.</w:t>
      </w:r>
    </w:p>
    <w:p>
      <w:pPr>
        <w:spacing w:after="200"/>
      </w:pPr>
      <w:r>
        <w:rPr>
          <w:b/>
          <w:bCs/>
        </w:rPr>
        <w:t xml:space="preserve">License: </w:t>
      </w:r>
      <w:r>
        <w:t xml:space="preserve">Creative Commons Attribution 4.0 International (CC BY 4.0). Free to share and adapt with attribution.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Governance Labs </w:t>
    </w:r>
    <w:r>
      <w:rPr>
        <w:rFonts w:ascii="Arial" w:cs="Arial" w:eastAsia="Arial" w:hAnsi="Arial"/>
        <w:color w:val="6B7280"/>
        <w:sz w:val="16"/>
        <w:szCs w:val="16"/>
      </w:rPr>
      <w:t xml:space="preserve">| Page </w:t>
    </w:r>
    <w:r>
      <w:rPr>
        <w:rFonts w:ascii="Arial" w:cs="Arial" w:eastAsia="Arial" w:hAnsi="Arial"/>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b/>
        <w:bCs/>
        <w:color w:val="DC2626"/>
        <w:sz w:val="16"/>
        <w:szCs w:val="16"/>
      </w:rPr>
      <w:t xml:space="preserve">POLITICAL TOPOLOGY — </w:t>
    </w:r>
    <w:r>
      <w:rPr>
        <w:rFonts w:ascii="Arial" w:cs="Arial" w:eastAsia="Arial" w:hAnsi="Arial"/>
        <w:color w:val="6B7280"/>
        <w:sz w:val="16"/>
        <w:szCs w:val="16"/>
      </w:rPr>
      <w:t xml:space="preserve">Methodology &amp; Sources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1A"/>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1A1A1A"/>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2563EB"/>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2026-02-07T03:11:45.297Z</dcterms:created>
  <dcterms:modified xsi:type="dcterms:W3CDTF">2026-02-07T03:11:45.298Z</dcterms:modified>
</cp:coreProperties>
</file>

<file path=docProps/custom.xml><?xml version="1.0" encoding="utf-8"?>
<Properties xmlns="http://schemas.openxmlformats.org/officeDocument/2006/custom-properties" xmlns:vt="http://schemas.openxmlformats.org/officeDocument/2006/docPropsVTypes"/>
</file>