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3600"/>
      </w:tblGrid>
      <w:tr>
        <w:tc>
          <w:tcPr>
            <w:tcW w:type="dxa" w:w="7200"/>
            <w:tcBorders>
              <w:top w:val="none"/>
              <w:left w:val="none"/>
              <w:bottom w:val="none"/>
              <w:right w:val="none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The Great Decoupling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AAAAAA"/>
                <w:sz w:val="14"/>
                <w:szCs w:val="14"/>
              </w:rPr>
              <w:t xml:space="preserve">Liberty and Human Capability in the 21st Century</w:t>
            </w:r>
          </w:p>
        </w:tc>
        <w:tc>
          <w:tcPr>
            <w:tcW w:type="dxa" w:w="3600"/>
            <w:tcBorders>
              <w:top w:val="none"/>
              <w:left w:val="none"/>
              <w:bottom w:val="none"/>
              <w:right w:val="none"/>
            </w:tcBorders>
            <w:shd w:fill="1A1A2E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color w:val="AAAAAA"/>
                <w:sz w:val="12"/>
                <w:szCs w:val="12"/>
              </w:rPr>
              <w:t xml:space="preserve">GOVERNANCE LABS</w:t>
            </w:r>
          </w:p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color w:val="AAAAAA"/>
                <w:sz w:val="12"/>
                <w:szCs w:val="12"/>
              </w:rPr>
              <w:t xml:space="preserve">Research Brief · February 2025</w:t>
            </w:r>
          </w:p>
        </w:tc>
      </w:tr>
    </w:tbl>
    <w:p>
      <w:pPr>
        <w:spacing w:before="120" w:after="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F0F0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60"/>
            </w:pPr>
            <w:r>
              <w:rPr>
                <w:rFonts w:ascii="Arial" w:cs="Arial" w:eastAsia="Arial" w:hAnsi="Arial"/>
                <w:b/>
                <w:bCs/>
                <w:color w:val="E3120B"/>
                <w:sz w:val="16"/>
                <w:szCs w:val="16"/>
              </w:rPr>
              <w:t xml:space="preserve">Bottom Line: </w:t>
            </w:r>
            <w:r>
              <w:rPr>
                <w:rFonts w:ascii="Arial" w:cs="Arial" w:eastAsia="Arial" w:hAnsi="Arial"/>
                <w:color w:val="1A1A2E"/>
                <w:sz w:val="16"/>
                <w:szCs w:val="16"/>
              </w:rPr>
              <w:t xml:space="preserve">The historical link between political freedom and human development is breaking. The correlation between Liberty and the Human Capabilities Index has fallen from r = 0.79 (pre-1900) to r = 0.57 (post-1990). Today, </w:t>
            </w:r>
            <w:r>
              <w:rPr>
                <w:rFonts w:ascii="Arial" w:cs="Arial" w:eastAsia="Arial" w:hAnsi="Arial"/>
                <w:b/>
                <w:bCs/>
                <w:color w:val="E3120B"/>
                <w:sz w:val="16"/>
                <w:szCs w:val="16"/>
              </w:rPr>
              <w:t xml:space="preserve">39 capable autocracies</w:t>
            </w:r>
            <w:r>
              <w:rPr>
                <w:rFonts w:ascii="Arial" w:cs="Arial" w:eastAsia="Arial" w:hAnsi="Arial"/>
                <w:color w:val="1A1A2E"/>
                <w:sz w:val="16"/>
                <w:szCs w:val="16"/>
              </w:rPr>
              <w:t xml:space="preserve"> outnumber </w:t>
            </w:r>
            <w:r>
              <w:rPr>
                <w:rFonts w:ascii="Arial" w:cs="Arial" w:eastAsia="Arial" w:hAnsi="Arial"/>
                <w:b/>
                <w:bCs/>
                <w:color w:val="2166AC"/>
                <w:sz w:val="16"/>
                <w:szCs w:val="16"/>
              </w:rPr>
              <w:t xml:space="preserve">38 free democracies</w:t>
            </w:r>
            <w:r>
              <w:rPr>
                <w:rFonts w:ascii="Arial" w:cs="Arial" w:eastAsia="Arial" w:hAnsi="Arial"/>
                <w:color w:val="1A1A2E"/>
                <w:sz w:val="16"/>
                <w:szCs w:val="16"/>
              </w:rPr>
              <w:t xml:space="preserve">. The crossover occurred in the 2020s — the first in the modern era.</w:t>
            </w:r>
          </w:p>
        </w:tc>
      </w:tr>
    </w:tbl>
    <w:p>
      <w:pPr>
        <w:spacing w:before="80" w:after="4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1A1A2E" w:sz="3"/>
              <w:left w:val="none"/>
              <w:bottom w:val="none"/>
              <w:right w:val="none"/>
            </w:tcBorders>
            <w:tcMar>
              <w:top w:type="dxa" w:w="60"/>
              <w:left w:type="dxa" w:w="60"/>
              <w:bottom w:type="dxa" w:w="40"/>
              <w:right w:type="dxa" w:w="6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0.79→0.57</w:t>
            </w:r>
          </w:p>
          <w:p>
            <w:pPr>
              <w:spacing w:after="1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4"/>
                <w:szCs w:val="14"/>
              </w:rPr>
              <w:t xml:space="preserve">Correlation decline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666666"/>
                <w:sz w:val="12"/>
                <w:szCs w:val="12"/>
              </w:rPr>
              <w:t xml:space="preserve">Freedom no longer predicts welfare</w:t>
            </w:r>
          </w:p>
        </w:tc>
        <w:tc>
          <w:tcPr>
            <w:tcW w:type="dxa" w:w="2700"/>
            <w:tcBorders>
              <w:top w:val="single" w:color="1A1A2E" w:sz="3"/>
              <w:left w:val="none"/>
              <w:bottom w:val="none"/>
              <w:right w:val="none"/>
            </w:tcBorders>
            <w:tcMar>
              <w:top w:type="dxa" w:w="60"/>
              <w:left w:type="dxa" w:w="60"/>
              <w:bottom w:type="dxa" w:w="40"/>
              <w:right w:type="dxa" w:w="6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39 vs 38</w:t>
            </w:r>
          </w:p>
          <w:p>
            <w:pPr>
              <w:spacing w:after="1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4"/>
                <w:szCs w:val="14"/>
              </w:rPr>
              <w:t xml:space="preserve">Quadrant crossover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666666"/>
                <w:sz w:val="12"/>
                <w:szCs w:val="12"/>
              </w:rPr>
              <w:t xml:space="preserve">Capable autocracies lead</w:t>
            </w:r>
          </w:p>
        </w:tc>
        <w:tc>
          <w:tcPr>
            <w:tcW w:type="dxa" w:w="2700"/>
            <w:tcBorders>
              <w:top w:val="single" w:color="E3120B" w:sz="3"/>
              <w:left w:val="none"/>
              <w:bottom w:val="none"/>
              <w:right w:val="none"/>
            </w:tcBorders>
            <w:tcMar>
              <w:top w:type="dxa" w:w="60"/>
              <w:left w:type="dxa" w:w="60"/>
              <w:bottom w:type="dxa" w:w="40"/>
              <w:right w:type="dxa" w:w="6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E3120B"/>
                <w:sz w:val="22"/>
                <w:szCs w:val="22"/>
              </w:rPr>
              <w:t xml:space="preserve">0%</w:t>
            </w:r>
          </w:p>
          <w:p>
            <w:pPr>
              <w:spacing w:after="1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4"/>
                <w:szCs w:val="14"/>
              </w:rPr>
              <w:t xml:space="preserve">Post-1990 recovery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666666"/>
                <w:sz w:val="12"/>
                <w:szCs w:val="12"/>
              </w:rPr>
              <w:t xml:space="preserve">No eroding democracy has self-corrected</w:t>
            </w:r>
          </w:p>
        </w:tc>
        <w:tc>
          <w:tcPr>
            <w:tcW w:type="dxa" w:w="2700"/>
            <w:tcBorders>
              <w:top w:val="single" w:color="1A1A2E" w:sz="3"/>
              <w:left w:val="none"/>
              <w:bottom w:val="none"/>
              <w:right w:val="none"/>
            </w:tcBorders>
            <w:tcMar>
              <w:top w:type="dxa" w:w="60"/>
              <w:left w:type="dxa" w:w="60"/>
              <w:bottom w:type="dxa" w:w="40"/>
              <w:right w:type="dxa" w:w="6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−46 pts</w:t>
            </w:r>
          </w:p>
          <w:p>
            <w:pPr>
              <w:spacing w:after="10"/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4"/>
                <w:szCs w:val="14"/>
              </w:rPr>
              <w:t xml:space="preserve">US Liberty 2020–2025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666666"/>
                <w:sz w:val="12"/>
                <w:szCs w:val="12"/>
              </w:rPr>
              <w:t xml:space="preserve">Fastest collapse without a coup</w:t>
            </w:r>
          </w:p>
        </w:tc>
      </w:tr>
    </w:tbl>
    <w:p>
      <w:pPr>
        <w:spacing w:before="80" w:after="4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/>
              <w:left w:val="none"/>
              <w:bottom w:val="none"/>
              <w:right w:val="single" w:color="E0E0E0" w:sz="1"/>
            </w:tcBorders>
            <w:tcMar>
              <w:top w:type="dxa" w:w="0"/>
              <w:left w:type="dxa" w:w="0"/>
              <w:bottom w:type="dxa" w:w="0"/>
              <w:right w:type="dxa" w:w="16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1A2E"/>
                <w:sz w:val="16"/>
                <w:szCs w:val="16"/>
              </w:rPr>
              <w:t xml:space="preserve">Five Trajectories Through History</w:t>
            </w:r>
          </w:p>
          <w:p>
            <w:pPr>
              <w:spacing w:before="20" w:after="10" w:line="240"/>
            </w:pPr>
            <w:r>
              <w:rPr>
                <w:rFonts w:ascii="Arial" w:cs="Arial" w:eastAsia="Arial" w:hAnsi="Arial"/>
                <w:b/>
                <w:bCs/>
                <w:color w:val="2166AC"/>
                <w:sz w:val="14"/>
                <w:szCs w:val="14"/>
              </w:rPr>
              <w:t xml:space="preserve">Democratic Convergence (31)</w:t>
            </w:r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 — Liberty + capability rose together</w:t>
            </w:r>
          </w:p>
          <w:p>
            <w:pPr>
              <w:spacing w:before="0" w:after="40" w:line="220"/>
              <w:ind w:left="180"/>
            </w:pPr>
            <w:r>
              <w:rPr>
                <w:rFonts w:ascii="Arial" w:cs="Arial" w:eastAsia="Arial" w:hAnsi="Arial"/>
                <w:i/>
                <w:iCs/>
                <w:color w:val="666666"/>
                <w:sz w:val="12"/>
                <w:szCs w:val="12"/>
              </w:rPr>
              <w:t xml:space="preserve">Germany, S. Korea, Japan, Poland</w:t>
            </w:r>
          </w:p>
          <w:p>
            <w:pPr>
              <w:spacing w:before="20" w:after="10" w:line="240"/>
            </w:pPr>
            <w:r>
              <w:rPr>
                <w:rFonts w:ascii="Arial" w:cs="Arial" w:eastAsia="Arial" w:hAnsi="Arial"/>
                <w:b/>
                <w:bCs/>
                <w:color w:val="E3120B"/>
                <w:sz w:val="14"/>
                <w:szCs w:val="14"/>
              </w:rPr>
              <w:t xml:space="preserve">Autocratic Modernization (22)</w:t>
            </w:r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 — Capability tripled, liberty flat</w:t>
            </w:r>
          </w:p>
          <w:p>
            <w:pPr>
              <w:spacing w:before="0" w:after="40" w:line="220"/>
              <w:ind w:left="180"/>
            </w:pPr>
            <w:r>
              <w:rPr>
                <w:rFonts w:ascii="Arial" w:cs="Arial" w:eastAsia="Arial" w:hAnsi="Arial"/>
                <w:i/>
                <w:iCs/>
                <w:color w:val="666666"/>
                <w:sz w:val="12"/>
                <w:szCs w:val="12"/>
              </w:rPr>
              <w:t xml:space="preserve">China, Russia, Cuba, Vietnam, Saudi Arabia</w:t>
            </w:r>
          </w:p>
          <w:p>
            <w:pPr>
              <w:spacing w:before="20" w:after="10" w:line="240"/>
            </w:pPr>
            <w:r>
              <w:rPr>
                <w:rFonts w:ascii="Arial" w:cs="Arial" w:eastAsia="Arial" w:hAnsi="Arial"/>
                <w:b/>
                <w:bCs/>
                <w:color w:val="984EA3"/>
                <w:sz w:val="14"/>
                <w:szCs w:val="14"/>
              </w:rPr>
              <w:t xml:space="preserve">Hybrid Regime (24)</w:t>
            </w:r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 — Partial liberty, erratic paths</w:t>
            </w:r>
          </w:p>
          <w:p>
            <w:pPr>
              <w:spacing w:before="0" w:after="40" w:line="220"/>
              <w:ind w:left="180"/>
            </w:pPr>
            <w:r>
              <w:rPr>
                <w:rFonts w:ascii="Arial" w:cs="Arial" w:eastAsia="Arial" w:hAnsi="Arial"/>
                <w:i/>
                <w:iCs/>
                <w:color w:val="666666"/>
                <w:sz w:val="12"/>
                <w:szCs w:val="12"/>
              </w:rPr>
              <w:t xml:space="preserve">India, Singapore, Hungary, Argentina</w:t>
            </w:r>
          </w:p>
          <w:p>
            <w:pPr>
              <w:spacing w:before="20" w:after="10" w:line="240"/>
            </w:pPr>
            <w:r>
              <w:rPr>
                <w:rFonts w:ascii="Arial" w:cs="Arial" w:eastAsia="Arial" w:hAnsi="Arial"/>
                <w:b/>
                <w:bCs/>
                <w:color w:val="E3120B"/>
                <w:sz w:val="14"/>
                <w:szCs w:val="14"/>
              </w:rPr>
              <w:t xml:space="preserve">Democratic Collapse (2)</w:t>
            </w:r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 — Liberty peak then leftward collapse</w:t>
            </w:r>
          </w:p>
          <w:p>
            <w:pPr>
              <w:spacing w:before="0" w:after="40" w:line="220"/>
              <w:ind w:left="180"/>
            </w:pPr>
            <w:r>
              <w:rPr>
                <w:rFonts w:ascii="Arial" w:cs="Arial" w:eastAsia="Arial" w:hAnsi="Arial"/>
                <w:i/>
                <w:iCs/>
                <w:color w:val="666666"/>
                <w:sz w:val="12"/>
                <w:szCs w:val="12"/>
              </w:rPr>
              <w:t xml:space="preserve">Venezuela, Turkey</w:t>
            </w:r>
          </w:p>
          <w:p>
            <w:pPr>
              <w:spacing w:before="20" w:after="10" w:line="240"/>
            </w:pPr>
            <w:r>
              <w:rPr>
                <w:rFonts w:ascii="Arial" w:cs="Arial" w:eastAsia="Arial" w:hAnsi="Arial"/>
                <w:b/>
                <w:bCs/>
                <w:color w:val="FF7F00"/>
                <w:sz w:val="14"/>
                <w:szCs w:val="14"/>
              </w:rPr>
              <w:t xml:space="preserve">Fragile / Conflict (12)</w:t>
            </w:r>
            <w:r>
              <w:rPr>
                <w:rFonts w:ascii="Arial" w:cs="Arial" w:eastAsia="Arial" w:hAnsi="Arial"/>
                <w:color w:val="666666"/>
                <w:sz w:val="14"/>
                <w:szCs w:val="14"/>
              </w:rPr>
              <w:t xml:space="preserve"> — Low on both axes, trapped</w:t>
            </w:r>
          </w:p>
          <w:p>
            <w:pPr>
              <w:spacing w:before="0" w:after="40" w:line="220"/>
              <w:ind w:left="180"/>
            </w:pPr>
            <w:r>
              <w:rPr>
                <w:rFonts w:ascii="Arial" w:cs="Arial" w:eastAsia="Arial" w:hAnsi="Arial"/>
                <w:i/>
                <w:iCs/>
                <w:color w:val="666666"/>
                <w:sz w:val="12"/>
                <w:szCs w:val="12"/>
              </w:rPr>
              <w:t xml:space="preserve">Afghanistan, Somalia, DRC, Haiti</w:t>
            </w:r>
          </w:p>
        </w:tc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6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E3120B"/>
                <w:sz w:val="16"/>
                <w:szCs w:val="16"/>
              </w:rPr>
              <w:t xml:space="preserve">The Event Horizon</w:t>
            </w:r>
          </w:p>
          <w:p>
            <w:pPr>
              <w:spacing w:before="0" w:after="60" w:line="260"/>
            </w:pPr>
            <w:r>
              <w:rPr>
                <w:rFonts w:ascii="Arial" w:cs="Arial" w:eastAsia="Arial" w:hAnsi="Arial"/>
                <w:color w:val="1A1A2E"/>
                <w:sz w:val="14"/>
                <w:szCs w:val="14"/>
              </w:rPr>
              <w:t xml:space="preserve">Since 1990, </w:t>
            </w:r>
            <w:r>
              <w:rPr>
                <w:rFonts w:ascii="Arial" w:cs="Arial" w:eastAsia="Arial" w:hAnsi="Arial"/>
                <w:b/>
                <w:bCs/>
                <w:color w:val="E3120B"/>
                <w:sz w:val="14"/>
                <w:szCs w:val="14"/>
              </w:rPr>
              <w:t xml:space="preserve">every democracy that experienced significant erosion has failed to recover</w:t>
            </w:r>
            <w:r>
              <w:rPr>
                <w:rFonts w:ascii="Arial" w:cs="Arial" w:eastAsia="Arial" w:hAnsi="Arial"/>
                <w:color w:val="1A1A2E"/>
                <w:sz w:val="14"/>
                <w:szCs w:val="14"/>
              </w:rPr>
              <w:t xml:space="preserve">. Seven episodes (Venezuela, Turkey, Nicaragua, Tunisia, Philippines, Mali, Ukraine) — zero recoveries. The US is the eighth.</w:t>
            </w:r>
          </w:p>
          <w:p>
            <w:pPr>
              <w:spacing w:before="0" w:after="60" w:line="260"/>
            </w:pPr>
            <w:r>
              <w:rPr>
                <w:rFonts w:ascii="Arial" w:cs="Arial" w:eastAsia="Arial" w:hAnsi="Arial"/>
                <w:color w:val="1A1A2E"/>
                <w:sz w:val="14"/>
                <w:szCs w:val="14"/>
              </w:rPr>
              <w:t xml:space="preserve">High capabilities do not protect democratic recovery. Mean HCI at time of erosion: </w:t>
            </w:r>
            <w:r>
              <w:rPr>
                <w:rFonts w:ascii="Arial" w:cs="Arial" w:eastAsia="Arial" w:hAnsi="Arial"/>
                <w:b/>
                <w:bCs/>
                <w:color w:val="1A1A2E"/>
                <w:sz w:val="14"/>
                <w:szCs w:val="14"/>
              </w:rPr>
              <w:t xml:space="preserve">78</w:t>
            </w:r>
            <w:r>
              <w:rPr>
                <w:rFonts w:ascii="Arial" w:cs="Arial" w:eastAsia="Arial" w:hAnsi="Arial"/>
                <w:color w:val="1A1A2E"/>
                <w:sz w:val="14"/>
                <w:szCs w:val="14"/>
              </w:rPr>
              <w:t xml:space="preserve">. Turkey had HCI 83, the Philippines 75, the US 88. Running water does not require free elections.</w:t>
            </w:r>
          </w:p>
          <w:p>
            <w:pPr>
              <w:spacing w:before="80"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16"/>
                <w:szCs w:val="16"/>
              </w:rPr>
              <w:t xml:space="preserve">So What?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40" w:line="240"/>
            </w:pPr>
            <w:r>
              <w:rPr>
                <w:rFonts w:ascii="Arial" w:cs="Arial" w:eastAsia="Arial" w:hAnsi="Arial"/>
                <w:color w:val="1A1A2E"/>
                <w:sz w:val="13"/>
                <w:szCs w:val="13"/>
              </w:rPr>
              <w:t xml:space="preserve">The instrumental case for democracy — that freedom produces better material outcomes — is empirically weaker than at any point in 200 years. The remaining case must be intrinsic: dignity, voice, accountability.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40" w:line="240"/>
            </w:pPr>
            <w:r>
              <w:rPr>
                <w:rFonts w:ascii="Arial" w:cs="Arial" w:eastAsia="Arial" w:hAnsi="Arial"/>
                <w:color w:val="1A1A2E"/>
                <w:sz w:val="13"/>
                <w:szCs w:val="13"/>
              </w:rPr>
              <w:t xml:space="preserve">Democratic collapse does not immediately destroy material life. Citizens may not feel institutional damage until recovery becomes statistically impossible.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40" w:line="240"/>
            </w:pPr>
            <w:r>
              <w:rPr>
                <w:rFonts w:ascii="Arial" w:cs="Arial" w:eastAsia="Arial" w:hAnsi="Arial"/>
                <w:color w:val="1A1A2E"/>
                <w:sz w:val="13"/>
                <w:szCs w:val="13"/>
              </w:rPr>
              <w:t xml:space="preserve">Historical recoveries (WW2 Europe, South Korea 1987, Chile 1988) required mass mobilization or external liberation. Gradual recovery from gradual erosion has never occurred.</w:t>
            </w:r>
          </w:p>
        </w:tc>
      </w:tr>
    </w:tbl>
    <w:p>
      <w:pPr>
        <w:spacing w:before="60" w:after="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1A1A2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0" w:line="260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The US Anomaly: 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Liberty fell from 94 (2010) to 48 (2025) while HCI remained at 91. The fastest democratic erosion of any established democracy without a coup. The US now sits alongside Malaysia (L=45), Serbia (L=48), and Armenia (L=42) — not Canada (L=92), Germany (L=91), or France (L=83).</w:t>
            </w:r>
          </w:p>
        </w:tc>
      </w:tr>
    </w:tbl>
    <w:p>
      <w:pPr>
        <w:spacing w:before="40" w:after="0"/>
      </w:pPr>
    </w:p>
    <w:p>
      <w:pPr>
        <w:spacing w:before="20" w:after="0" w:line="220"/>
      </w:pPr>
      <w:r>
        <w:rPr>
          <w:rFonts w:ascii="Arial" w:cs="Arial" w:eastAsia="Arial" w:hAnsi="Arial"/>
          <w:color w:val="AAAAAA"/>
          <w:sz w:val="12"/>
          <w:szCs w:val="12"/>
        </w:rPr>
        <w:t xml:space="preserve">Sources: Freedom House 2025 (Liberty), HCI composite of 15 indicators from Gapminder, UN, WHO, UNESCO, World Bank, Maddison Project, Barro-Lee, Gallup. 808 matched country-year observations, 91 countries, 1800–2025.</w:t>
      </w:r>
    </w:p>
    <w:sectPr>
      <w:pgSz w:w="12240" w:h="15840" w:orient="portrait"/>
      <w:pgMar w:top="720" w:right="720" w:bottom="54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6"/>
        <w:szCs w:val="1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2026-02-07T12:47:09.980Z</dcterms:created>
  <dcterms:modified xsi:type="dcterms:W3CDTF">2026-02-07T12:47:09.981Z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